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325dsd.htm"/>
      <w:bookmarkStart w:id="1" w:name="ksd111325dsd"/>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001-36569</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35-2318913</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6838" w:type="dxa"/>
            <w:gridSpan w:val="3"/>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6838" w:type="dxa"/>
            <w:gridSpan w:val="3"/>
            <w:tcBorders/>
          </w:tcPr>
          <w:p>
            <w:pPr>
              <w:pStyle w:val="TableContents"/>
              <w:bidi w:val="0"/>
              <w:spacing w:before="0" w:after="283"/>
              <w:jc w:val="center"/>
              <w:rPr>
                <w:b/>
              </w:rPr>
            </w:pPr>
            <w:r>
              <w:rPr>
                <w:b/>
              </w:rPr>
              <w:t>201 Burlington Road, South Building Bedford, MA</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01730</w:t>
            </w:r>
          </w:p>
        </w:tc>
      </w:tr>
      <w:tr>
        <w:trPr/>
        <w:tc>
          <w:tcPr>
            <w:tcW w:w="6838" w:type="dxa"/>
            <w:gridSpan w:val="3"/>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Eric Green </w:t>
      </w:r>
    </w:p>
    <w:p>
      <w:pPr>
        <w:pStyle w:val="TextBody"/>
        <w:bidi w:val="0"/>
        <w:spacing w:before="0" w:after="0"/>
        <w:jc w:val="center"/>
        <w:rPr>
          <w:rFonts w:ascii="Times New Roman" w:hAnsi="Times New Roman"/>
          <w:b/>
          <w:sz w:val="20"/>
        </w:rPr>
      </w:pPr>
      <w:r>
        <w:rPr>
          <w:rFonts w:ascii="Times New Roman" w:hAnsi="Times New Roman"/>
          <w:b/>
          <w:sz w:val="20"/>
        </w:rPr>
        <w:t xml:space="preserve">Vice President, Deputy General Counsel </w:t>
      </w:r>
    </w:p>
    <w:p>
      <w:pPr>
        <w:pStyle w:val="TextBody"/>
        <w:bidi w:val="0"/>
        <w:spacing w:before="0" w:after="0"/>
        <w:jc w:val="center"/>
        <w:rPr>
          <w:rFonts w:ascii="Times New Roman" w:hAnsi="Times New Roman"/>
          <w:b/>
          <w:sz w:val="20"/>
        </w:rPr>
      </w:pPr>
      <w:r>
        <w:rPr>
          <w:rFonts w:ascii="Times New Roman" w:hAnsi="Times New Roman"/>
          <w:b/>
          <w:sz w:val="20"/>
        </w:rPr>
        <w:t xml:space="preserve">and Assistant Corporate Secretary </w:t>
      </w:r>
    </w:p>
    <w:p>
      <w:pPr>
        <w:pStyle w:val="TextBody"/>
        <w:bidi w:val="0"/>
        <w:spacing w:before="240" w:after="0"/>
        <w:jc w:val="center"/>
        <w:rPr>
          <w:rFonts w:ascii="Times New Roman" w:hAnsi="Times New Roman"/>
          <w:b/>
          <w:sz w:val="20"/>
        </w:rPr>
      </w:pPr>
      <w:r>
        <w:rPr>
          <w:rFonts w:ascii="Times New Roman" w:hAnsi="Times New Roman"/>
          <w:b/>
          <w:sz w:val="20"/>
        </w:rPr>
        <w:t xml:space="preserve">(978) 671-8001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number, including area code, of the person to contact in connection with this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13q-1 under the Securities Exchange Act (17 CFR 240.13q-1) for the fiscal year ended _______.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Conflict Minerals Disclosure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3"/>
        <w:gridCol w:w="9289"/>
      </w:tblGrid>
      <w:tr>
        <w:trPr/>
        <w:tc>
          <w:tcPr>
            <w:tcW w:w="71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Item 1.01</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Conflict Minerals Disclosure and Report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Conflict Minerals Disclosure </w:t>
      </w:r>
    </w:p>
    <w:p>
      <w:pPr>
        <w:pStyle w:val="TextBody"/>
        <w:bidi w:val="0"/>
        <w:spacing w:before="120" w:after="0"/>
        <w:jc w:val="left"/>
        <w:rPr>
          <w:rFonts w:ascii="Times New Roman" w:hAnsi="Times New Roman"/>
          <w:sz w:val="20"/>
        </w:rPr>
      </w:pPr>
      <w:r>
        <w:rPr>
          <w:rFonts w:ascii="Times New Roman" w:hAnsi="Times New Roman"/>
          <w:sz w:val="20"/>
        </w:rPr>
        <w:t xml:space="preserve">A copy of Lantheus Holdings, Inc.’s Conflict Minerals Report for the reporting period January 1, 2025 through December 31, 2025 is provided as Exhibit 1.01 under Item 3.01 of this Form SD (the “Conflict Minerals Report”) and is also publicly available at www.lantheus.com. </w:t>
      </w:r>
    </w:p>
    <w:p>
      <w:pPr>
        <w:pStyle w:val="TextBody"/>
        <w:bidi w:val="0"/>
        <w:spacing w:before="240" w:after="0"/>
        <w:jc w:val="left"/>
        <w:rPr>
          <w:rFonts w:ascii="Times New Roman" w:hAnsi="Times New Roman"/>
          <w:sz w:val="20"/>
        </w:rPr>
      </w:pPr>
      <w:r>
        <w:rPr>
          <w:rFonts w:ascii="Times New Roman" w:hAnsi="Times New Roman"/>
          <w:sz w:val="20"/>
        </w:rPr>
        <w:t xml:space="preserve">The content of any website referred to in this Form SD or the Conflict Mineral Report is included for general information only and is not incorporated by reference in this Form SD.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Item 1.02</w:t>
            </w:r>
          </w:p>
        </w:tc>
        <w:tc>
          <w:tcPr>
            <w:tcW w:w="204" w:type="dxa"/>
            <w:tcBorders/>
            <w:vAlign w:val="bottom"/>
          </w:tcPr>
          <w:p>
            <w:pPr>
              <w:pStyle w:val="TableContents"/>
              <w:bidi w:val="0"/>
              <w:spacing w:before="0" w:after="283"/>
              <w:jc w:val="left"/>
              <w:rPr/>
            </w:pPr>
            <w:r>
              <w:rPr/>
              <w:t>  </w:t>
            </w:r>
          </w:p>
        </w:tc>
        <w:tc>
          <w:tcPr>
            <w:tcW w:w="92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Exhibit</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Item 1.01.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Resource Extraction Issuer Disclosure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Item 2.01</w:t>
            </w:r>
          </w:p>
        </w:tc>
        <w:tc>
          <w:tcPr>
            <w:tcW w:w="204" w:type="dxa"/>
            <w:tcBorders/>
            <w:vAlign w:val="bottom"/>
          </w:tcPr>
          <w:p>
            <w:pPr>
              <w:pStyle w:val="TableContents"/>
              <w:bidi w:val="0"/>
              <w:spacing w:before="0" w:after="283"/>
              <w:jc w:val="left"/>
              <w:rPr/>
            </w:pPr>
            <w:r>
              <w:rPr/>
              <w:t>  </w:t>
            </w:r>
          </w:p>
        </w:tc>
        <w:tc>
          <w:tcPr>
            <w:tcW w:w="92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Resource Extraction Issuer Disclosure and Report</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 –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
        <w:gridCol w:w="204"/>
        <w:gridCol w:w="9287"/>
      </w:tblGrid>
      <w:tr>
        <w:trPr/>
        <w:tc>
          <w:tcPr>
            <w:tcW w:w="71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7"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Item 3.01</w:t>
            </w:r>
          </w:p>
        </w:tc>
        <w:tc>
          <w:tcPr>
            <w:tcW w:w="204" w:type="dxa"/>
            <w:tcBorders/>
            <w:vAlign w:val="bottom"/>
          </w:tcPr>
          <w:p>
            <w:pPr>
              <w:pStyle w:val="TableContents"/>
              <w:bidi w:val="0"/>
              <w:spacing w:before="0" w:after="283"/>
              <w:jc w:val="left"/>
              <w:rPr/>
            </w:pPr>
            <w:r>
              <w:rPr/>
              <w:t>  </w:t>
            </w:r>
          </w:p>
        </w:tc>
        <w:tc>
          <w:tcPr>
            <w:tcW w:w="92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Exhibits</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 1.01 – Conflict Minerals Report for the reporting period January 1, 2025 through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2"/>
        <w:gridCol w:w="109"/>
        <w:gridCol w:w="3333"/>
        <w:gridCol w:w="122"/>
        <w:gridCol w:w="3209"/>
      </w:tblGrid>
      <w:tr>
        <w:trPr/>
        <w:tc>
          <w:tcPr>
            <w:tcW w:w="343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b/>
                <w:u w:val="single"/>
              </w:rPr>
            </w:pPr>
            <w:r>
              <w:rPr>
                <w:b/>
                <w:u w:val="single"/>
              </w:rPr>
              <w:t>LANTHEUS HOLDINGS, INC.</w:t>
            </w:r>
          </w:p>
        </w:tc>
      </w:tr>
      <w:tr>
        <w:trPr/>
        <w:tc>
          <w:tcPr>
            <w:tcW w:w="10205" w:type="dxa"/>
            <w:gridSpan w:val="5"/>
            <w:tcBorders/>
          </w:tcPr>
          <w:p>
            <w:pPr>
              <w:pStyle w:val="TableContents"/>
              <w:bidi w:val="0"/>
              <w:spacing w:before="0" w:after="283"/>
              <w:jc w:val="left"/>
              <w:rPr/>
            </w:pPr>
            <w:r>
              <w:rPr/>
              <w:t>(Registrant)</w:t>
            </w:r>
          </w:p>
        </w:tc>
      </w:tr>
      <w:tr>
        <w:trPr>
          <w:trHeight w:val="240" w:hRule="atLeast"/>
        </w:trPr>
        <w:tc>
          <w:tcPr>
            <w:tcW w:w="3432"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c>
          <w:tcPr>
            <w:tcW w:w="3331" w:type="dxa"/>
            <w:gridSpan w:val="2"/>
            <w:tcBorders/>
            <w:vAlign w:val="center"/>
          </w:tcPr>
          <w:p>
            <w:pPr>
              <w:pStyle w:val="TableContents"/>
              <w:bidi w:val="0"/>
              <w:spacing w:before="0" w:after="283"/>
              <w:jc w:val="left"/>
              <w:rPr>
                <w:sz w:val="4"/>
                <w:szCs w:val="4"/>
              </w:rPr>
            </w:pPr>
            <w:r>
              <w:rPr>
                <w:sz w:val="4"/>
                <w:szCs w:val="4"/>
              </w:rPr>
            </w:r>
          </w:p>
        </w:tc>
      </w:tr>
      <w:tr>
        <w:trPr/>
        <w:tc>
          <w:tcPr>
            <w:tcW w:w="34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Green</w:t>
            </w:r>
          </w:p>
        </w:tc>
        <w:tc>
          <w:tcPr>
            <w:tcW w:w="109"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u w:val="single"/>
              </w:rPr>
            </w:pPr>
            <w:r>
              <w:rPr>
                <w:u w:val="single"/>
              </w:rPr>
              <w:t>May 29, 2026</w:t>
            </w:r>
          </w:p>
        </w:tc>
      </w:tr>
      <w:tr>
        <w:trPr/>
        <w:tc>
          <w:tcPr>
            <w:tcW w:w="3432" w:type="dxa"/>
            <w:tcBorders/>
          </w:tcPr>
          <w:p>
            <w:pPr>
              <w:pStyle w:val="TableContents"/>
              <w:bidi w:val="0"/>
              <w:spacing w:before="0" w:after="283"/>
              <w:jc w:val="left"/>
              <w:rPr/>
            </w:pPr>
            <w:r>
              <w:rPr/>
              <w:t>By: Eric Green, Vice President, Deputy General Counsel and Assistant Corporate Secretary</w:t>
            </w:r>
          </w:p>
        </w:tc>
        <w:tc>
          <w:tcPr>
            <w:tcW w:w="109"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
        <w:gridCol w:w="519"/>
        <w:gridCol w:w="9074"/>
      </w:tblGrid>
      <w:tr>
        <w:trPr/>
        <w:tc>
          <w:tcPr>
            <w:tcW w:w="612"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9074" w:type="dxa"/>
            <w:tcBorders/>
            <w:vAlign w:val="center"/>
          </w:tcPr>
          <w:p>
            <w:pPr>
              <w:pStyle w:val="TableContents"/>
              <w:bidi w:val="0"/>
              <w:spacing w:before="0" w:after="283"/>
              <w:jc w:val="left"/>
              <w:rPr>
                <w:sz w:val="4"/>
                <w:szCs w:val="4"/>
              </w:rPr>
            </w:pPr>
            <w:r>
              <w:rPr>
                <w:sz w:val="4"/>
                <w:szCs w:val="4"/>
              </w:rPr>
            </w:r>
          </w:p>
        </w:tc>
      </w:tr>
      <w:tr>
        <w:trPr/>
        <w:tc>
          <w:tcPr>
            <w:tcW w:w="6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519" w:type="dxa"/>
            <w:tcBorders/>
            <w:vAlign w:val="bottom"/>
          </w:tcPr>
          <w:p>
            <w:pPr>
              <w:pStyle w:val="TableContents"/>
              <w:bidi w:val="0"/>
              <w:spacing w:before="0" w:after="283"/>
              <w:jc w:val="left"/>
              <w:rPr/>
            </w:pPr>
            <w:r>
              <w:rPr/>
              <w:t>  </w:t>
            </w:r>
          </w:p>
        </w:tc>
        <w:tc>
          <w:tcPr>
            <w:tcW w:w="90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1.01</w:t>
            </w:r>
          </w:p>
        </w:tc>
        <w:tc>
          <w:tcPr>
            <w:tcW w:w="519" w:type="dxa"/>
            <w:tcBorders/>
            <w:vAlign w:val="bottom"/>
          </w:tcPr>
          <w:p>
            <w:pPr>
              <w:pStyle w:val="TableContents"/>
              <w:bidi w:val="0"/>
              <w:spacing w:before="0" w:after="283"/>
              <w:jc w:val="left"/>
              <w:rPr/>
            </w:pPr>
            <w:r>
              <w:rPr/>
              <w:t>  </w:t>
            </w:r>
          </w:p>
        </w:tc>
        <w:tc>
          <w:tcPr>
            <w:tcW w:w="9074" w:type="dxa"/>
            <w:tcBorders/>
          </w:tcPr>
          <w:p>
            <w:pPr>
              <w:pStyle w:val="TableContents"/>
              <w:bidi w:val="0"/>
              <w:spacing w:before="0" w:after="283"/>
              <w:jc w:val="left"/>
              <w:rPr/>
            </w:pPr>
            <w:hyperlink w:anchor="d111325dex101.htm">
              <w:r>
                <w:rPr>
                  <w:rStyle w:val="InternetLink"/>
                </w:rPr>
                <w:t xml:space="preserve">Conflict Minerals Report for the reporting period January 1, 2025 through December 31,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11325dex101.htm"/>
      <w:bookmarkStart w:id="3" w:name="ksd111325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Conflict Minerals Report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Lantheus Holdings, Inc. (together with its subsidiaries, the “</w:t>
      </w:r>
      <w:r>
        <w:rPr>
          <w:rFonts w:ascii="Times New Roman" w:hAnsi="Times New Roman"/>
          <w:i/>
          <w:sz w:val="20"/>
        </w:rPr>
        <w:t>Company</w:t>
      </w:r>
      <w:r>
        <w:rPr>
          <w:rFonts w:ascii="Times New Roman" w:hAnsi="Times New Roman"/>
          <w:sz w:val="20"/>
        </w:rPr>
        <w:t>” or “</w:t>
      </w:r>
      <w:r>
        <w:rPr>
          <w:rFonts w:ascii="Times New Roman" w:hAnsi="Times New Roman"/>
          <w:i/>
          <w:sz w:val="20"/>
        </w:rPr>
        <w:t>we</w:t>
      </w:r>
      <w:r>
        <w:rPr>
          <w:rFonts w:ascii="Times New Roman" w:hAnsi="Times New Roman"/>
          <w:sz w:val="20"/>
        </w:rPr>
        <w:t>”) is filing this Conflict Minerals Report for the 2025 calendar year (this “</w:t>
      </w:r>
      <w:r>
        <w:rPr>
          <w:rFonts w:ascii="Times New Roman" w:hAnsi="Times New Roman"/>
          <w:i/>
          <w:sz w:val="20"/>
        </w:rPr>
        <w:t>Report</w:t>
      </w:r>
      <w:r>
        <w:rPr>
          <w:rFonts w:ascii="Times New Roman" w:hAnsi="Times New Roman"/>
          <w:sz w:val="20"/>
        </w:rPr>
        <w:t>”) in accordance with Rule 13p-1 under the Securities Exchange Act of 1934, as amended, and Form SD (collectively, the “</w:t>
      </w:r>
      <w:r>
        <w:rPr>
          <w:rFonts w:ascii="Times New Roman" w:hAnsi="Times New Roman"/>
          <w:i/>
          <w:sz w:val="20"/>
        </w:rPr>
        <w:t>Rule</w:t>
      </w:r>
      <w:r>
        <w:rPr>
          <w:rFonts w:ascii="Times New Roman" w:hAnsi="Times New Roman"/>
          <w:sz w:val="20"/>
        </w:rPr>
        <w:t>”). The Rule imposes certain due diligence and reporting obligations on public companies that manufacture (or contract to manufacture) any products for which columbite-tantalite (coltan), cassiterite, gold, wolframite and their derivatives limited to tantalum, tin, gold and tungsten (“</w:t>
      </w:r>
      <w:r>
        <w:rPr>
          <w:rFonts w:ascii="Times New Roman" w:hAnsi="Times New Roman"/>
          <w:i/>
          <w:sz w:val="20"/>
        </w:rPr>
        <w:t>conflict minerals</w:t>
      </w:r>
      <w:r>
        <w:rPr>
          <w:rFonts w:ascii="Times New Roman" w:hAnsi="Times New Roman"/>
          <w:sz w:val="20"/>
        </w:rPr>
        <w:t>”) are necessary to the functionality or production of those products (conflict minerals meeting these criteria are referred to as “</w:t>
      </w:r>
      <w:r>
        <w:rPr>
          <w:rFonts w:ascii="Times New Roman" w:hAnsi="Times New Roman"/>
          <w:i/>
          <w:sz w:val="20"/>
        </w:rPr>
        <w:t>necessary conflict minerals</w:t>
      </w:r>
      <w:r>
        <w:rPr>
          <w:rFonts w:ascii="Times New Roman" w:hAnsi="Times New Roman"/>
          <w:sz w:val="20"/>
        </w:rPr>
        <w:t>”). The Rule generally imposes heightened due diligence and reporting obligations if a public company knows or has reason to believe that those necessary conflict minerals originated or may have originated in the Democratic Republic of the Congo or any of the adjoining countries (collectively, the “</w:t>
      </w:r>
      <w:r>
        <w:rPr>
          <w:rFonts w:ascii="Times New Roman" w:hAnsi="Times New Roman"/>
          <w:i/>
          <w:sz w:val="20"/>
        </w:rPr>
        <w:t>Covered Countries</w:t>
      </w:r>
      <w:r>
        <w:rPr>
          <w:rFonts w:ascii="Times New Roman" w:hAnsi="Times New Roman"/>
          <w:sz w:val="20"/>
        </w:rPr>
        <w:t xml:space="preserve">”). The date of filing of this Report is May 29, 2026.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the leading radiopharmaceutical-focused company, delivering life-changing science to enable clinicians to Find, Fight and Follow disease to deliver better patient outcomes. </w:t>
      </w:r>
    </w:p>
    <w:p>
      <w:pPr>
        <w:pStyle w:val="TextBody"/>
        <w:bidi w:val="0"/>
        <w:spacing w:before="240" w:after="0"/>
        <w:jc w:val="left"/>
        <w:rPr>
          <w:rFonts w:ascii="Times New Roman" w:hAnsi="Times New Roman"/>
          <w:sz w:val="20"/>
        </w:rPr>
      </w:pPr>
      <w:r>
        <w:rPr>
          <w:rFonts w:ascii="Times New Roman" w:hAnsi="Times New Roman"/>
          <w:sz w:val="20"/>
        </w:rPr>
        <w:t xml:space="preserve">We do not purchase necessary conflict minerals from any mines, smelters or refiners directly. Rather, there are several layers of indirect suppliers in the supply chain between us and the original sources of necessary conflict minerals. As a result, we rely on our direct suppliers of products, materials and components to provide information about the source and chain of custody of necessary conflict minerals. </w:t>
      </w:r>
    </w:p>
    <w:p>
      <w:pPr>
        <w:pStyle w:val="TextBody"/>
        <w:bidi w:val="0"/>
        <w:spacing w:before="240" w:after="0"/>
        <w:jc w:val="left"/>
        <w:rPr>
          <w:rFonts w:ascii="Times New Roman" w:hAnsi="Times New Roman"/>
          <w:sz w:val="20"/>
        </w:rPr>
      </w:pPr>
      <w:r>
        <w:rPr>
          <w:rFonts w:ascii="Times New Roman" w:hAnsi="Times New Roman"/>
          <w:sz w:val="20"/>
        </w:rPr>
        <w:t xml:space="preserve">We do not seek to embargo the responsible sourcing of conflict minerals from the Covered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 Minerals Policy </w:t>
      </w:r>
    </w:p>
    <w:p>
      <w:pPr>
        <w:pStyle w:val="TextBody"/>
        <w:bidi w:val="0"/>
        <w:spacing w:before="120" w:after="0"/>
        <w:jc w:val="left"/>
        <w:rPr>
          <w:rFonts w:ascii="Times New Roman" w:hAnsi="Times New Roman"/>
          <w:sz w:val="20"/>
        </w:rPr>
      </w:pPr>
      <w:r>
        <w:rPr>
          <w:rFonts w:ascii="Times New Roman" w:hAnsi="Times New Roman"/>
          <w:sz w:val="20"/>
        </w:rPr>
        <w:t>We maintain a conflict minerals policy (the “</w:t>
      </w:r>
      <w:r>
        <w:rPr>
          <w:rFonts w:ascii="Times New Roman" w:hAnsi="Times New Roman"/>
          <w:i/>
          <w:sz w:val="20"/>
        </w:rPr>
        <w:t>Conflict Minerals Policy</w:t>
      </w:r>
      <w:r>
        <w:rPr>
          <w:rFonts w:ascii="Times New Roman" w:hAnsi="Times New Roman"/>
          <w:sz w:val="20"/>
        </w:rPr>
        <w:t xml:space="preserve">”). The Conflict Minerals Policy is publicly available at https://investor.lantheus.com/corporate-governance/documents-charters. The Conflict Minerals Policy indicates that suppliers are expected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familiarize themselves with the Rule and Conflict Minerals Policy, implement policies and systems that are consistent with the Rule and Conflict Minerals Policy and require their direct and indirect suppliers to do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procedures to trace conflict minerals at least to the smelter or refiner level (working with their direct and indirect suppliers as applicable) and provide the Company with proper verification of the country of origin and source of the materials used in the products, materials or components supplied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respond to the Company’s survey requests and other inquiries in a timely manner and with full disclosure following the specific instructions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Company’s request, provide the Company with written certifications and other information concerning the origin of conflict minerals included in products, materials and components supplied to the Company, and require their direct and indirect suppliers to do the same;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reasonably possible, source conflict minerals from smelters and refiners validated as conflict free, and require their direct and indirect suppliers to do the same.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Reasonable Country of Origin Inquiry </w:t>
      </w:r>
    </w:p>
    <w:p>
      <w:pPr>
        <w:pStyle w:val="TextBody"/>
        <w:bidi w:val="0"/>
        <w:spacing w:before="120" w:after="0"/>
        <w:jc w:val="left"/>
        <w:rPr>
          <w:rFonts w:ascii="Times New Roman" w:hAnsi="Times New Roman"/>
          <w:sz w:val="20"/>
        </w:rPr>
      </w:pPr>
      <w:r>
        <w:rPr>
          <w:rFonts w:ascii="Times New Roman" w:hAnsi="Times New Roman"/>
          <w:sz w:val="20"/>
        </w:rPr>
        <w:t xml:space="preserve">We are knowledgeable about the design, manufacture and composition of our commercial products, given our involvement in the original research and development of, technology transfers relating to, and/or the testing and/or manufacture of, those products. As such, our supply chain and manufacturing teams and other subject matter experts within the Company, in consultation with their counterparts at relevant suppliers, as appropriate, analyzed our commercial offerings on a product-by-product basis, including by examining product, material and component lists, specifications and other supply chain and quality information and data, to identify whether any of the products that we manufactured (or contracted to manufacture) during calendar year 2025 contained (or were reasonably likely to contain) any conflict minerals. </w:t>
      </w:r>
    </w:p>
    <w:p>
      <w:pPr>
        <w:pStyle w:val="TextBody"/>
        <w:bidi w:val="0"/>
        <w:spacing w:before="240" w:after="0"/>
        <w:jc w:val="left"/>
        <w:rPr>
          <w:rFonts w:ascii="Times New Roman" w:hAnsi="Times New Roman"/>
          <w:sz w:val="20"/>
        </w:rPr>
      </w:pPr>
      <w:r>
        <w:rPr>
          <w:rFonts w:ascii="Times New Roman" w:hAnsi="Times New Roman"/>
          <w:sz w:val="20"/>
        </w:rPr>
        <w:t xml:space="preserve">This team identified a small number of our products that contained (or were reasonably likely to contain) small amounts of conflict minerals and confirmed that those conflict minerals were necessary conflict minerals. With this information, the team identified those direct suppliers that supplied materials containing (or reasonably likely to contain) necessary conflict minerals. In accordance with the Rule, we initiated in good faith a reasonable country of origin inquiry, as described below, with those direct suppliers to determine whether the necessary conflict minerals in the materials supplied to us actually or may have originated in the Covered Countries and/or actually or may have originated from recycled or scrap sources.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Design Framework </w:t>
      </w:r>
    </w:p>
    <w:p>
      <w:pPr>
        <w:pStyle w:val="TextBody"/>
        <w:bidi w:val="0"/>
        <w:spacing w:before="120" w:after="0"/>
        <w:jc w:val="left"/>
        <w:rPr>
          <w:rFonts w:ascii="Times New Roman" w:hAnsi="Times New Roman"/>
          <w:sz w:val="20"/>
        </w:rPr>
      </w:pPr>
      <w:r>
        <w:rPr>
          <w:rFonts w:ascii="Times New Roman" w:hAnsi="Times New Roman"/>
          <w:sz w:val="20"/>
        </w:rPr>
        <w:t>We utilize due diligence measures for conflict minerals that are designed to conform with, in all material respects, the criteria set forth in the Organisation for Economic Co-Operation and Development’s Due Diligence Guidance for Responsible Supply Chains of Minerals from Conflict-Affected and High-Risk Areas, including the Supplement on Tin, Tantalum, Tungsten and the Supplement on Gold (Third Edition)(the “</w:t>
      </w:r>
      <w:r>
        <w:rPr>
          <w:rFonts w:ascii="Times New Roman" w:hAnsi="Times New Roman"/>
          <w:i/>
          <w:sz w:val="20"/>
        </w:rPr>
        <w:t>OECD Due Diligence Guidance</w:t>
      </w:r>
      <w:r>
        <w:rPr>
          <w:rFonts w:ascii="Times New Roman" w:hAnsi="Times New Roman"/>
          <w:sz w:val="20"/>
        </w:rPr>
        <w:t xml:space="preserve">”), specifically as it relates to “downstream companies,” like us, that are far removed in the supply chain from smelters, refiners, mines or other points of origins of conflict minerals.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Diligence Program </w:t>
      </w:r>
    </w:p>
    <w:p>
      <w:pPr>
        <w:pStyle w:val="TextBody"/>
        <w:bidi w:val="0"/>
        <w:spacing w:before="120" w:after="0"/>
        <w:jc w:val="left"/>
        <w:rPr>
          <w:rFonts w:ascii="Times New Roman" w:hAnsi="Times New Roman"/>
          <w:sz w:val="20"/>
        </w:rPr>
      </w:pPr>
      <w:r>
        <w:rPr>
          <w:rFonts w:ascii="Times New Roman" w:hAnsi="Times New Roman"/>
          <w:sz w:val="20"/>
        </w:rPr>
        <w:t xml:space="preserve">In furtherance of our conflict minerals due diligence, we performed the due diligence measures discussed below for 2025. </w:t>
      </w:r>
    </w:p>
    <w:p>
      <w:pPr>
        <w:pStyle w:val="TextBody"/>
        <w:bidi w:val="0"/>
        <w:spacing w:before="360" w:after="0"/>
        <w:jc w:val="left"/>
        <w:rPr>
          <w:rFonts w:ascii="Times New Roman" w:hAnsi="Times New Roman"/>
          <w:i/>
          <w:sz w:val="20"/>
        </w:rPr>
      </w:pPr>
      <w:r>
        <w:rPr>
          <w:rFonts w:ascii="Times New Roman" w:hAnsi="Times New Roman"/>
          <w:i/>
          <w:sz w:val="20"/>
        </w:rPr>
        <w:t xml:space="preserve">Company Management Systems </w:t>
      </w:r>
    </w:p>
    <w:p>
      <w:pPr>
        <w:pStyle w:val="TextBody"/>
        <w:bidi w:val="0"/>
        <w:spacing w:before="120" w:after="0"/>
        <w:jc w:val="left"/>
        <w:rPr>
          <w:rFonts w:ascii="Times New Roman" w:hAnsi="Times New Roman"/>
          <w:sz w:val="20"/>
        </w:rPr>
      </w:pPr>
      <w:r>
        <w:rPr>
          <w:rFonts w:ascii="Times New Roman" w:hAnsi="Times New Roman"/>
          <w:sz w:val="20"/>
        </w:rPr>
        <w:t xml:space="preserve">We took a number of steps described in the OECD Due Diligence Guidance to maintain strong company management systems. </w:t>
      </w:r>
    </w:p>
    <w:p>
      <w:pPr>
        <w:pStyle w:val="TextBody"/>
        <w:bidi w:val="0"/>
        <w:spacing w:before="240" w:after="0"/>
        <w:jc w:val="left"/>
        <w:rPr>
          <w:rFonts w:ascii="Times New Roman" w:hAnsi="Times New Roman"/>
          <w:sz w:val="20"/>
        </w:rPr>
      </w:pPr>
      <w:r>
        <w:rPr>
          <w:rFonts w:ascii="Times New Roman" w:hAnsi="Times New Roman"/>
          <w:sz w:val="20"/>
        </w:rPr>
        <w:t xml:space="preserve">As noted earlier, we have a Conflict Minerals Policy. We have assembled a cross-functional team comprised of representatives from senior management and the procurement, supply chain, manufacturing, technical development and legal functions to implement, execute and refine our conflict minerals compliance process. This team is responsible for establishing and implementing our Conflict Minerals Policy and the risk-based due diligence contemplated by that policy and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general, we engage with suppliers through our supplier onboarding process, supplier quality agreements and quality systems assessments. Most of our contracts with direct suppliers, however, have been in force for many years and historically did not require the supplier to provide us with information regarding the origin of conflict minerals. As we renew existing contracts, or enter into new contracts, with suppliers for products, materials and components that may contain necessary conflict minerals, we seek to contractually require those suppliers to investigate upstream suppliers and sources and provide us information about the source and chain of custody of necessary conflict minerals present in the products, materials and components they supply to us. In the absence of appropriate and effective flow-down provisions, we rely on the voluntary and timely cooperation of our direct suppliers to provide the necessary information on the origin of necessary conflict minerals.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way to facilitate transparency and dialogue with our personnel and other stakeholders, we have a dedicated telephone hotline that provides a mechanism for anyone to anonymously report compliance and other complaints, including any concerns related to the conflict minerals supply chain. The telephone hotline number is 1-877-472-6272 (U.S. callers) or 1-503-747-1848 (international callers). </w:t>
      </w:r>
    </w:p>
    <w:p>
      <w:pPr>
        <w:pStyle w:val="TextBody"/>
        <w:bidi w:val="0"/>
        <w:spacing w:before="360" w:after="0"/>
        <w:jc w:val="left"/>
        <w:rPr>
          <w:rFonts w:ascii="Times New Roman" w:hAnsi="Times New Roman"/>
          <w:i/>
          <w:sz w:val="20"/>
        </w:rPr>
      </w:pPr>
      <w:r>
        <w:rPr>
          <w:rFonts w:ascii="Times New Roman" w:hAnsi="Times New Roman"/>
          <w:i/>
          <w:sz w:val="20"/>
        </w:rPr>
        <w:t xml:space="preserve">Identification and Assessment of Supply Chain Risk </w:t>
      </w:r>
    </w:p>
    <w:p>
      <w:pPr>
        <w:pStyle w:val="TextBody"/>
        <w:bidi w:val="0"/>
        <w:spacing w:before="120" w:after="0"/>
        <w:jc w:val="left"/>
        <w:rPr>
          <w:rFonts w:ascii="Times New Roman" w:hAnsi="Times New Roman"/>
          <w:sz w:val="20"/>
        </w:rPr>
      </w:pPr>
      <w:r>
        <w:rPr>
          <w:rFonts w:ascii="Times New Roman" w:hAnsi="Times New Roman"/>
          <w:sz w:val="20"/>
        </w:rPr>
        <w:t xml:space="preserve">As discussed under the heading “Reasonable Country of Origin Inquiry” above, we identified those of our specific products that contain (or were reasonably likely to contain) necessary conflict minerals. As we do not have direct relationships with original sources of those necessary conflict minerals, we requested the direct suppliers of materials containing those necessary conflict minerals to provide information about any potential conflict minerals used in products supplied to us and compliance with internationally recognized standards, including the Responsible Minerals Initiative and Conflict-Free Sourcing Initiative, in order to help identify the sources of, and chain of custody for, those necessary conflict minerals. </w:t>
      </w:r>
    </w:p>
    <w:p>
      <w:pPr>
        <w:pStyle w:val="TextBody"/>
        <w:bidi w:val="0"/>
        <w:spacing w:before="360" w:after="0"/>
        <w:jc w:val="left"/>
        <w:rPr>
          <w:rFonts w:ascii="Times New Roman" w:hAnsi="Times New Roman"/>
          <w:i/>
          <w:sz w:val="20"/>
        </w:rPr>
      </w:pPr>
      <w:r>
        <w:rPr>
          <w:rFonts w:ascii="Times New Roman" w:hAnsi="Times New Roman"/>
          <w:i/>
          <w:sz w:val="20"/>
        </w:rPr>
        <w:t xml:space="preserve">Response to Identified Risks </w:t>
      </w:r>
    </w:p>
    <w:p>
      <w:pPr>
        <w:pStyle w:val="TextBody"/>
        <w:bidi w:val="0"/>
        <w:spacing w:before="120" w:after="0"/>
        <w:jc w:val="left"/>
        <w:rPr>
          <w:rFonts w:ascii="Times New Roman" w:hAnsi="Times New Roman"/>
          <w:sz w:val="20"/>
        </w:rPr>
      </w:pPr>
      <w:r>
        <w:rPr>
          <w:rFonts w:ascii="Times New Roman" w:hAnsi="Times New Roman"/>
          <w:sz w:val="20"/>
        </w:rPr>
        <w:t xml:space="preserve">We implemented a supplier outreach process, tasking our procurement personnel who have the most relevant relationships with these direct suppliers to pursue and review responses provided by those direct suppliers. To the extent supplier responses were incomplete or inconsistent, we conducted further inquiries with those suppliers. Our relative location within the supply chain, several tiers removed from the extraction, transport and refinement of ore and other sources of necessary conflict minerals, makes it difficult for us to trace these minerals back to their country of origin. We are dependent on our direct suppliers, their own due diligence processes and their responsiveness and engagement for this purpose. </w:t>
      </w:r>
    </w:p>
    <w:p>
      <w:pPr>
        <w:pStyle w:val="TextBody"/>
        <w:bidi w:val="0"/>
        <w:spacing w:before="360" w:after="0"/>
        <w:jc w:val="left"/>
        <w:rPr>
          <w:rFonts w:ascii="Times New Roman" w:hAnsi="Times New Roman"/>
          <w:i/>
          <w:sz w:val="20"/>
        </w:rPr>
      </w:pPr>
      <w:r>
        <w:rPr>
          <w:rFonts w:ascii="Times New Roman" w:hAnsi="Times New Roman"/>
          <w:i/>
          <w:sz w:val="20"/>
        </w:rPr>
        <w:t xml:space="preserve">Smelter Audits </w:t>
      </w:r>
    </w:p>
    <w:p>
      <w:pPr>
        <w:pStyle w:val="TextBody"/>
        <w:bidi w:val="0"/>
        <w:spacing w:before="120" w:after="0"/>
        <w:jc w:val="left"/>
        <w:rPr>
          <w:rFonts w:ascii="Times New Roman" w:hAnsi="Times New Roman"/>
          <w:sz w:val="20"/>
        </w:rPr>
      </w:pPr>
      <w:r>
        <w:rPr>
          <w:rFonts w:ascii="Times New Roman" w:hAnsi="Times New Roman"/>
          <w:sz w:val="20"/>
        </w:rPr>
        <w:t xml:space="preserve">Because we do not have a direct relationship with smelters or refiners that process conflict minerals, we do not perform or direct audits of these entities within our supply chain. We use and rely on independent third party audits of smelters and refiners as part of our due diligence. </w:t>
      </w:r>
    </w:p>
    <w:p>
      <w:pPr>
        <w:pStyle w:val="TextBody"/>
        <w:bidi w:val="0"/>
        <w:spacing w:before="360" w:after="0"/>
        <w:jc w:val="left"/>
        <w:rPr>
          <w:rFonts w:ascii="Times New Roman" w:hAnsi="Times New Roman"/>
          <w:i/>
          <w:sz w:val="20"/>
        </w:rPr>
      </w:pPr>
      <w:r>
        <w:rPr>
          <w:rFonts w:ascii="Times New Roman" w:hAnsi="Times New Roman"/>
          <w:i/>
          <w:sz w:val="20"/>
        </w:rPr>
        <w:t xml:space="preserve">Report on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We have filed a Form SD and this Report with the Securities and Exchange Commission and made copies of the Form SD and this Report available on our website at www.lantheus.com.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Results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we do not purchase necessary conflict minerals from any miner, smelters or refiners. Rather, there are several layers of indirect suppliers in the supply chain between us and the original sources of necessary conflict minerals. As a result, we rely on our direct suppliers of products, materials and components to investigate and provide information about the source and chain of custody of necessary conflict minerals. </w:t>
      </w:r>
    </w:p>
    <w:p>
      <w:pPr>
        <w:pStyle w:val="TextBody"/>
        <w:bidi w:val="0"/>
        <w:spacing w:before="240" w:after="0"/>
        <w:jc w:val="left"/>
        <w:rPr>
          <w:rFonts w:ascii="Times New Roman" w:hAnsi="Times New Roman"/>
          <w:sz w:val="20"/>
        </w:rPr>
      </w:pPr>
      <w:r>
        <w:rPr>
          <w:rFonts w:ascii="Times New Roman" w:hAnsi="Times New Roman"/>
          <w:sz w:val="20"/>
        </w:rPr>
        <w:t xml:space="preserve">Based on results of our supplier outreach and other information and representations provided by our suppliers, we have determined that the necessary conflict minerals incorporated into one of our products originated solely from Responsible Minerals Initiative - certified smelters. For our other two products that incorporate necessary conflict minerals, we were not able to determine the source of the necessary conflict minerals in the products. However, our relevant supplier has been informed by its supplier that the supplier does not knowingly source, directly or indirectly from its own suppliers, any of those necessary conflict minerals from sources in the Covered Countries that finance or benefit armed conflict in the Covered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 Mitigation </w:t>
      </w:r>
    </w:p>
    <w:p>
      <w:pPr>
        <w:pStyle w:val="TextBody"/>
        <w:bidi w:val="0"/>
        <w:spacing w:before="120" w:after="0"/>
        <w:jc w:val="left"/>
        <w:rPr>
          <w:rFonts w:ascii="Times New Roman" w:hAnsi="Times New Roman"/>
          <w:sz w:val="20"/>
        </w:rPr>
      </w:pPr>
      <w:r>
        <w:rPr>
          <w:rFonts w:ascii="Times New Roman" w:hAnsi="Times New Roman"/>
          <w:sz w:val="20"/>
        </w:rPr>
        <w:t xml:space="preserve">Our due diligence program is and will continue to be refined through an iterative process, and our progress is expected to be incremental over time. We plan to take steps to improve our due diligence processes and work toward further mitigating the risk that the necessary conflict minerals in our products could finance or benefit armed groups in the Covered Countries. As mentioned above, where it may be applicable, we also plan to contractually require new suppliers to investigate upstream suppliers and sources and provide us information about the source and chain of custody of necessary conflict minerals present in the products, materials and components they supply to 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for Forward-Looking and Cautionary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as defined under U.S. federal securities laws, including statements about future events. Forward-looking statements may be identified by their use of terms such as anticipate, believe, confident, could, estimate, expect, intend, may, plan, predict, project, target, will and other similar terms. Such forward-looking statements are subject to risks and uncertainties that could cause actual results to materially differ from those described in the forward-looking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2225</Words>
  <Characters>12887</Characters>
  <CharactersWithSpaces>15145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