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Lantheus Alpha Therapy,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LANTHEUS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Perspective Therapeutics, Inc.</w:t>
              </w:r>
            </w:hyperlink>
            <w:r>
              <w:rPr/>
              <w:t xml:space="preserve"> [ </w:t>
            </w:r>
            <w:r>
              <w:rPr>
                <w:rFonts w:ascii="Times;serif" w:hAnsi="Times;serif"/>
                <w:color w:val="0000FF"/>
                <w:sz w:val="24"/>
                <w:shd w:fill="FFFFFF" w:val="clear"/>
              </w:rPr>
              <w:t>CATX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80"/>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42,129</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3.1147</w:t>
            </w:r>
            <w:r>
              <w:rPr>
                <w:rFonts w:ascii="Times;serif" w:hAnsi="Times;serif"/>
                <w:color w:val="008000"/>
                <w:position w:val="7"/>
                <w:sz w:val="16"/>
                <w:sz w:val="20"/>
                <w:shd w:fill="FFFFFF" w:val="clear"/>
              </w:rPr>
              <w:t>(1)</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11,521,296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Lantheus Alpha Therapy,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LANTHEUS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Lantheus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 TREBLE COVE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BILLERICA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$3.025 to $3.235, inclusive. The reporting person undertakes to provide to Perspective Therapeutics, Inc. ("CATX"), any security holder of CATX or the staff of the Securities and Exchange Commission ("SEC"),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directly held by Lantheus Alpha Therapy, LLC ("Lantheus"), a wholly owned indirect subsidiary of Lantheus Holdings, Inc. ("Lantheus Holdings"). Under SEC rules and regulations, Lantheus Holdings may be deemed to have indirect beneficial ownership of the shares held by Lantheus, which has direct beneficial ownership.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Assistant Corporate Secretary of Lantheus Holdings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Assistant Corporate Secretary of Lantheus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224" TargetMode="External"/><Relationship Id="rId5" Type="http://schemas.openxmlformats.org/officeDocument/2006/relationships/hyperlink" Target="http://www.sec.gov/cgi-bin/browse-edgar?action=getcompany&amp;CIK=0000728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0224" TargetMode="External"/><Relationship Id="rId9" Type="http://schemas.openxmlformats.org/officeDocument/2006/relationships/hyperlink" Target="http://www.sec.gov/cgi-bin/browse-edgar?action=getcompany&amp;CIK=0001521036"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4233</Characters>
  <CharactersWithSpaces>4901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