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60962ds8.htm"/>
      <w:bookmarkStart w:id="1" w:name="ksd160962ds8"/>
      <w:bookmarkEnd w:id="0"/>
      <w:bookmarkEnd w:id="1"/>
      <w:r>
        <w:rPr>
          <w:rFonts w:ascii="Times New Roman" w:hAnsi="Times New Roman"/>
          <w:b/>
          <w:sz w:val="20"/>
        </w:rPr>
        <w:t xml:space="preserve">As filed with the Securities and Exchange Commission on September 2,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35-2318913</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201 Burlington Road, South Building</w:t>
            </w:r>
          </w:p>
          <w:p>
            <w:pPr>
              <w:pStyle w:val="TableContents"/>
              <w:bidi w:val="0"/>
              <w:spacing w:before="0" w:after="20"/>
              <w:jc w:val="center"/>
              <w:rPr>
                <w:rFonts w:ascii="Times New Roman" w:hAnsi="Times New Roman"/>
                <w:b/>
                <w:sz w:val="20"/>
              </w:rPr>
            </w:pPr>
            <w:r>
              <w:rPr>
                <w:rFonts w:ascii="Times New Roman" w:hAnsi="Times New Roman"/>
                <w:b/>
                <w:sz w:val="20"/>
              </w:rPr>
              <w:t>Bedford, Massachusetts 01730</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01862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Lantheus Holdings, Inc. Amended and Restated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(f/k/a the Lantheus Holdings, Inc. 2015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240" w:after="0"/>
        <w:jc w:val="center"/>
        <w:rPr>
          <w:rFonts w:ascii="Times New Roman" w:hAnsi="Times New Roman"/>
          <w:b/>
          <w:sz w:val="20"/>
        </w:rPr>
      </w:pPr>
      <w:r>
        <w:rPr>
          <w:rFonts w:ascii="Times New Roman" w:hAnsi="Times New Roman"/>
          <w:b/>
          <w:sz w:val="20"/>
        </w:rPr>
        <w:t xml:space="preserve">Daniel Niedzwiecki </w:t>
      </w:r>
    </w:p>
    <w:p>
      <w:pPr>
        <w:pStyle w:val="TextBody"/>
        <w:bidi w:val="0"/>
        <w:spacing w:before="0" w:after="0"/>
        <w:jc w:val="center"/>
        <w:rPr>
          <w:rFonts w:ascii="Times New Roman" w:hAnsi="Times New Roman"/>
          <w:b/>
          <w:sz w:val="20"/>
        </w:rPr>
      </w:pPr>
      <w:r>
        <w:rPr>
          <w:rFonts w:ascii="Times New Roman" w:hAnsi="Times New Roman"/>
          <w:b/>
          <w:sz w:val="20"/>
        </w:rPr>
        <w:t xml:space="preserve">Chief Administrative Officer and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Counsel </w:t>
      </w:r>
    </w:p>
    <w:p>
      <w:pPr>
        <w:pStyle w:val="TextBody"/>
        <w:bidi w:val="0"/>
        <w:spacing w:before="0" w:after="0"/>
        <w:jc w:val="center"/>
        <w:rPr>
          <w:rFonts w:ascii="Times New Roman" w:hAnsi="Times New Roman"/>
          <w:b/>
          <w:sz w:val="20"/>
        </w:rPr>
      </w:pPr>
      <w:r>
        <w:rPr>
          <w:rFonts w:ascii="Times New Roman" w:hAnsi="Times New Roman"/>
          <w:b/>
          <w:sz w:val="20"/>
        </w:rPr>
        <w:t xml:space="preserve">201 Burlington Road, South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Bedford, Massachusetts 01730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(978) 671-8648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8"/>
        <w:gridCol w:w="103"/>
        <w:gridCol w:w="4813"/>
        <w:gridCol w:w="126"/>
        <w:gridCol w:w="2599"/>
        <w:gridCol w:w="103"/>
        <w:gridCol w:w="253"/>
      </w:tblGrid>
      <w:tr>
        <w:trPr/>
        <w:tc>
          <w:tcPr>
            <w:tcW w:w="220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08"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599"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208" w:type="dxa"/>
            <w:tcBorders/>
            <w:vAlign w:val="center"/>
          </w:tcPr>
          <w:p>
            <w:pPr>
              <w:pStyle w:val="TableContents"/>
              <w:bidi w:val="0"/>
              <w:spacing w:before="0" w:after="283"/>
              <w:jc w:val="left"/>
              <w:rPr>
                <w:sz w:val="4"/>
                <w:szCs w:val="4"/>
              </w:rPr>
            </w:pPr>
            <w:r>
              <w:rPr>
                <w:sz w:val="4"/>
                <w:szCs w:val="4"/>
              </w:rPr>
            </w:r>
          </w:p>
        </w:tc>
        <w:tc>
          <w:tcPr>
            <w:tcW w:w="4916" w:type="dxa"/>
            <w:gridSpan w:val="2"/>
            <w:tcBorders/>
            <w:vAlign w:val="center"/>
          </w:tcPr>
          <w:p>
            <w:pPr>
              <w:pStyle w:val="TableContents"/>
              <w:bidi w:val="0"/>
              <w:spacing w:before="0" w:after="283"/>
              <w:jc w:val="left"/>
              <w:rPr>
                <w:sz w:val="4"/>
                <w:szCs w:val="4"/>
              </w:rPr>
            </w:pPr>
            <w:r>
              <w:rPr>
                <w:sz w:val="4"/>
                <w:szCs w:val="4"/>
              </w:rPr>
            </w:r>
          </w:p>
        </w:tc>
        <w:tc>
          <w:tcPr>
            <w:tcW w:w="272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599"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208" w:type="dxa"/>
            <w:tcBorders/>
            <w:vAlign w:val="center"/>
          </w:tcPr>
          <w:p>
            <w:pPr>
              <w:pStyle w:val="TableContents"/>
              <w:bidi w:val="0"/>
              <w:spacing w:before="0" w:after="283"/>
              <w:jc w:val="left"/>
              <w:rPr>
                <w:sz w:val="4"/>
                <w:szCs w:val="4"/>
              </w:rPr>
            </w:pPr>
            <w:r>
              <w:rPr>
                <w:sz w:val="4"/>
                <w:szCs w:val="4"/>
              </w:rPr>
            </w:r>
          </w:p>
        </w:tc>
        <w:tc>
          <w:tcPr>
            <w:tcW w:w="4916" w:type="dxa"/>
            <w:gridSpan w:val="2"/>
            <w:tcBorders/>
            <w:vAlign w:val="center"/>
          </w:tcPr>
          <w:p>
            <w:pPr>
              <w:pStyle w:val="TableContents"/>
              <w:bidi w:val="0"/>
              <w:spacing w:before="0" w:after="283"/>
              <w:jc w:val="left"/>
              <w:rPr>
                <w:sz w:val="4"/>
                <w:szCs w:val="4"/>
              </w:rPr>
            </w:pPr>
            <w:r>
              <w:rPr>
                <w:sz w:val="4"/>
                <w:szCs w:val="4"/>
              </w:rPr>
            </w:r>
          </w:p>
        </w:tc>
        <w:tc>
          <w:tcPr>
            <w:tcW w:w="272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599"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Lantheus Holdings, Inc. (the “Registrant”) is filing this Registration Statement on Form S-8 (this “Registration Statement”) to register an additional 2,000,000 shares of its common stock, par value $0.01 per share, that may be issued and sold under the Lantheus Holdings, Inc. Amended and Restated 2026 Equity Incentive Plan (f/k/a the Lantheus Holdings, Inc. 2015 Equity Incentive Plan) (the “Plan”), following the amendment and restatement of the Plan that was approved by the Registrant’s stockholders at its annual meeting on April 30, 2026. This Registration Statement is submitted in accordance with General Instruction E to the Registration Statement on Form S-8 regarding registration of additional securities, and pursuant to that instruction, the contents of the Registration Statements on Form S-8  (File No.</w:t>
      </w:r>
      <w:hyperlink r:id="rId2">
        <w:r>
          <w:rPr>
            <w:rStyle w:val="InternetLink"/>
            <w:rFonts w:ascii="Times New Roman" w:hAnsi="Times New Roman"/>
            <w:sz w:val="20"/>
          </w:rPr>
          <w:t>  333-205211</w:t>
        </w:r>
      </w:hyperlink>
      <w:r>
        <w:rPr>
          <w:rFonts w:ascii="Times New Roman" w:hAnsi="Times New Roman"/>
          <w:sz w:val="20"/>
        </w:rPr>
        <w:t>, File No.</w:t>
      </w:r>
      <w:hyperlink r:id="rId3">
        <w:r>
          <w:rPr>
            <w:rStyle w:val="InternetLink"/>
            <w:rFonts w:ascii="Times New Roman" w:hAnsi="Times New Roman"/>
            <w:sz w:val="20"/>
          </w:rPr>
          <w:t>  333-214343</w:t>
        </w:r>
      </w:hyperlink>
      <w:r>
        <w:rPr>
          <w:rFonts w:ascii="Times New Roman" w:hAnsi="Times New Roman"/>
          <w:sz w:val="20"/>
        </w:rPr>
        <w:t>, File No.</w:t>
      </w:r>
      <w:hyperlink r:id="rId4">
        <w:r>
          <w:rPr>
            <w:rStyle w:val="InternetLink"/>
            <w:rFonts w:ascii="Times New Roman" w:hAnsi="Times New Roman"/>
            <w:sz w:val="20"/>
          </w:rPr>
          <w:t>  333-220049</w:t>
        </w:r>
      </w:hyperlink>
      <w:r>
        <w:rPr>
          <w:rFonts w:ascii="Times New Roman" w:hAnsi="Times New Roman"/>
          <w:sz w:val="20"/>
        </w:rPr>
        <w:t>, File No.</w:t>
      </w:r>
      <w:hyperlink r:id="rId5">
        <w:r>
          <w:rPr>
            <w:rStyle w:val="InternetLink"/>
            <w:rFonts w:ascii="Times New Roman" w:hAnsi="Times New Roman"/>
            <w:sz w:val="20"/>
          </w:rPr>
          <w:t>  333-232919</w:t>
        </w:r>
      </w:hyperlink>
      <w:r>
        <w:rPr>
          <w:rFonts w:ascii="Times New Roman" w:hAnsi="Times New Roman"/>
          <w:sz w:val="20"/>
        </w:rPr>
        <w:t>, File No.</w:t>
      </w:r>
      <w:hyperlink r:id="rId6">
        <w:r>
          <w:rPr>
            <w:rStyle w:val="InternetLink"/>
            <w:rFonts w:ascii="Times New Roman" w:hAnsi="Times New Roman"/>
            <w:sz w:val="20"/>
          </w:rPr>
          <w:t>  333-258454</w:t>
        </w:r>
      </w:hyperlink>
      <w:r>
        <w:rPr>
          <w:rFonts w:ascii="Times New Roman" w:hAnsi="Times New Roman"/>
          <w:sz w:val="20"/>
        </w:rPr>
        <w:t>, File No.</w:t>
      </w:r>
      <w:hyperlink r:id="rId7">
        <w:r>
          <w:rPr>
            <w:rStyle w:val="InternetLink"/>
            <w:rFonts w:ascii="Times New Roman" w:hAnsi="Times New Roman"/>
            <w:sz w:val="20"/>
          </w:rPr>
          <w:t>  333-264890</w:t>
        </w:r>
      </w:hyperlink>
      <w:r>
        <w:rPr>
          <w:rFonts w:ascii="Times New Roman" w:hAnsi="Times New Roman"/>
          <w:sz w:val="20"/>
        </w:rPr>
        <w:t xml:space="preserve"> and File No.</w:t>
      </w:r>
      <w:hyperlink r:id="rId8">
        <w:r>
          <w:rPr>
            <w:rStyle w:val="InternetLink"/>
            <w:rFonts w:ascii="Times New Roman" w:hAnsi="Times New Roman"/>
            <w:sz w:val="20"/>
          </w:rPr>
          <w:t> 333-281686</w:t>
        </w:r>
      </w:hyperlink>
      <w:r>
        <w:rPr>
          <w:rFonts w:ascii="Times New Roman" w:hAnsi="Times New Roman"/>
          <w:sz w:val="20"/>
        </w:rPr>
        <w:t xml:space="preserve">) filed with the Securities and Exchange Commission on June 25, 2015, October 31, 2016, August 18, 2017, July 31, 2019, August 4, 2021, May 12, 2022 and August 21, 2024, respectively, are incorporated herein by reference.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Exhibit Index below.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
        <w:gridCol w:w="229"/>
        <w:gridCol w:w="3672"/>
        <w:gridCol w:w="185"/>
        <w:gridCol w:w="164"/>
        <w:gridCol w:w="618"/>
        <w:gridCol w:w="60"/>
        <w:gridCol w:w="185"/>
        <w:gridCol w:w="60"/>
        <w:gridCol w:w="1089"/>
        <w:gridCol w:w="60"/>
        <w:gridCol w:w="185"/>
        <w:gridCol w:w="126"/>
        <w:gridCol w:w="985"/>
        <w:gridCol w:w="60"/>
        <w:gridCol w:w="185"/>
        <w:gridCol w:w="60"/>
        <w:gridCol w:w="1473"/>
        <w:gridCol w:w="68"/>
      </w:tblGrid>
      <w:tr>
        <w:trPr/>
        <w:tc>
          <w:tcPr>
            <w:tcW w:w="741"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74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3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8" w:type="dxa"/>
            <w:tcBorders/>
            <w:vAlign w:val="bottom"/>
          </w:tcPr>
          <w:p>
            <w:pPr>
              <w:pStyle w:val="TableContents"/>
              <w:bidi w:val="0"/>
              <w:spacing w:before="0" w:after="283"/>
              <w:jc w:val="left"/>
              <w:rPr/>
            </w:pPr>
            <w:r>
              <w:rPr/>
              <w:t> </w:t>
            </w:r>
          </w:p>
        </w:tc>
      </w:tr>
      <w:tr>
        <w:trPr/>
        <w:tc>
          <w:tcPr>
            <w:tcW w:w="7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229" w:type="dxa"/>
            <w:tcBorders/>
            <w:vAlign w:val="bottom"/>
          </w:tcPr>
          <w:p>
            <w:pPr>
              <w:pStyle w:val="TableContents"/>
              <w:bidi w:val="0"/>
              <w:spacing w:before="0" w:after="283"/>
              <w:jc w:val="left"/>
              <w:rPr/>
            </w:pPr>
            <w:r>
              <w:rPr/>
              <w:t>  </w:t>
            </w:r>
          </w:p>
        </w:tc>
        <w:tc>
          <w:tcPr>
            <w:tcW w:w="36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EXHIBITS</w:t>
            </w:r>
          </w:p>
        </w:tc>
        <w:tc>
          <w:tcPr>
            <w:tcW w:w="185"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4.1</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r:id="rId9">
              <w:r>
                <w:rPr>
                  <w:rStyle w:val="InternetLink"/>
                </w:rPr>
                <w:t>Amended and Restated Certificate of Incorporation of Lantheus Holdings, Inc.</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001-36569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April 27, 2018</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4.2</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r:id="rId10">
              <w:r>
                <w:rPr>
                  <w:rStyle w:val="InternetLink"/>
                </w:rPr>
                <w:t>Certificate of Amendment of Amended and Restated Certificate of Incorporation of Lantheus Holdings, Inc.</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001-36569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May 1, 2026</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4.3</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r:id="rId11">
              <w:r>
                <w:rPr>
                  <w:rStyle w:val="InternetLink"/>
                </w:rPr>
                <w:t>Amended and Restated Bylaws of Lantheus Holdings, Inc.</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001-36569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May 5, 2025</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4.4</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r:id="rId12">
              <w:r>
                <w:rPr>
                  <w:rStyle w:val="InternetLink"/>
                </w:rPr>
                <w:t>Common Stock Certificate.</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001-36569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June 30, 2015</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4.5</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r:id="rId13">
              <w:r>
                <w:rPr>
                  <w:rStyle w:val="InternetLink"/>
                </w:rPr>
                <w:t xml:space="preserve">Lantheus Holdings, Inc. Amended and Restated 2026 Equity Incentive Plan.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001-36569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May 1, 2026</w:t>
            </w:r>
          </w:p>
        </w:tc>
        <w:tc>
          <w:tcPr>
            <w:tcW w:w="68" w:type="dxa"/>
            <w:tcBorders/>
            <w:vAlign w:val="bottom"/>
          </w:tcPr>
          <w:p>
            <w:pPr>
              <w:pStyle w:val="TableContents"/>
              <w:bidi w:val="0"/>
              <w:spacing w:before="0" w:after="283"/>
              <w:jc w:val="left"/>
              <w:rPr/>
            </w:pPr>
            <w:r>
              <w:rPr/>
              <w:t> </w:t>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5.1*</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w:anchor="d160962dex51.htm">
              <w:r>
                <w:rPr>
                  <w:rStyle w:val="InternetLink"/>
                </w:rPr>
                <w:t xml:space="preserve">Legal Opinion of Foley Hoag LLP.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23.1*</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w:anchor="d160962dex231.htm">
              <w:r>
                <w:rPr>
                  <w:rStyle w:val="InternetLink"/>
                </w:rPr>
                <w:t xml:space="preserve">Consent of Independent Registered Public Accounting Firm, Deloitte &amp; Touche LLP.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23.2*</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w:anchor="d160962dex51.htm">
              <w:r>
                <w:rPr>
                  <w:rStyle w:val="InternetLink"/>
                </w:rPr>
                <w:t xml:space="preserve">Consent of Foley Hoag LLP (included as part of Exhibit 5.1).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 </w:t>
            </w:r>
            <w:r>
              <w:rPr/>
              <w:t>24.1*</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w:anchor="sig">
              <w:r>
                <w:rPr>
                  <w:rStyle w:val="InternetLink"/>
                </w:rPr>
                <w:t xml:space="preserve">Power of Attorney (included as part of the signature page hereto).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41" w:type="dxa"/>
            <w:tcBorders/>
            <w:vAlign w:val="center"/>
          </w:tcPr>
          <w:p>
            <w:pPr>
              <w:pStyle w:val="TableContents"/>
              <w:bidi w:val="0"/>
              <w:spacing w:before="0" w:after="283"/>
              <w:jc w:val="left"/>
              <w:rPr>
                <w:sz w:val="4"/>
                <w:szCs w:val="4"/>
              </w:rPr>
            </w:pPr>
            <w:r>
              <w:rPr>
                <w:sz w:val="4"/>
                <w:szCs w:val="4"/>
              </w:rPr>
            </w:r>
          </w:p>
        </w:tc>
        <w:tc>
          <w:tcPr>
            <w:tcW w:w="3901" w:type="dxa"/>
            <w:gridSpan w:val="2"/>
            <w:tcBorders/>
            <w:vAlign w:val="center"/>
          </w:tcPr>
          <w:p>
            <w:pPr>
              <w:pStyle w:val="TableContents"/>
              <w:bidi w:val="0"/>
              <w:spacing w:before="0" w:after="283"/>
              <w:jc w:val="left"/>
              <w:rPr>
                <w:sz w:val="4"/>
                <w:szCs w:val="4"/>
              </w:rPr>
            </w:pPr>
            <w:r>
              <w:rPr>
                <w:sz w:val="4"/>
                <w:szCs w:val="4"/>
              </w:rPr>
            </w:r>
          </w:p>
        </w:tc>
        <w:tc>
          <w:tcPr>
            <w:tcW w:w="1027"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pPr>
            <w:r>
              <w:rPr/>
              <w:t>107*</w:t>
            </w:r>
          </w:p>
        </w:tc>
        <w:tc>
          <w:tcPr>
            <w:tcW w:w="229" w:type="dxa"/>
            <w:tcBorders/>
            <w:vAlign w:val="bottom"/>
          </w:tcPr>
          <w:p>
            <w:pPr>
              <w:pStyle w:val="TableContents"/>
              <w:bidi w:val="0"/>
              <w:spacing w:before="0" w:after="283"/>
              <w:jc w:val="left"/>
              <w:rPr/>
            </w:pPr>
            <w:r>
              <w:rPr/>
              <w:t>  </w:t>
            </w:r>
          </w:p>
        </w:tc>
        <w:tc>
          <w:tcPr>
            <w:tcW w:w="3672" w:type="dxa"/>
            <w:tcBorders/>
          </w:tcPr>
          <w:p>
            <w:pPr>
              <w:pStyle w:val="TableContents"/>
              <w:bidi w:val="0"/>
              <w:spacing w:before="0" w:after="283"/>
              <w:jc w:val="left"/>
              <w:rPr/>
            </w:pPr>
            <w:hyperlink w:anchor="d160962dexfilingfees.htm">
              <w:r>
                <w:rPr>
                  <w:rStyle w:val="InternetLink"/>
                </w:rPr>
                <w:t xml:space="preserve">Filing Fee Table </w:t>
              </w:r>
            </w:hyperlink>
          </w:p>
        </w:tc>
        <w:tc>
          <w:tcPr>
            <w:tcW w:w="18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Bedford, Commonwealth of Massachusetts, on September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Lantheus Holdings,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Anne Heino</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Mary Anne Heino</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of the undersigned constitutes and appoints each of Mary Anne Heino, Robert J. Marshall, Jr. and Daniel Niedzwiecki, each acting alone, her or his true and lawful attorney-in-fact and agent, with full power of substitution and resubstitution, for such person and in her or his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her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31"/>
        <w:gridCol w:w="120"/>
        <w:gridCol w:w="4656"/>
        <w:gridCol w:w="100"/>
        <w:gridCol w:w="1898"/>
      </w:tblGrid>
      <w:tr>
        <w:trPr/>
        <w:tc>
          <w:tcPr>
            <w:tcW w:w="34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5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34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6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0" w:type="dxa"/>
            <w:tcBorders/>
            <w:vAlign w:val="bottom"/>
          </w:tcPr>
          <w:p>
            <w:pPr>
              <w:pStyle w:val="TableContents"/>
              <w:bidi w:val="0"/>
              <w:spacing w:before="0" w:after="283"/>
              <w:jc w:val="left"/>
              <w:rPr/>
            </w:pPr>
            <w:r>
              <w:rPr/>
              <w:t> </w:t>
            </w:r>
          </w:p>
        </w:tc>
        <w:tc>
          <w:tcPr>
            <w:tcW w:w="18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Mary Anne Heino</w:t>
            </w:r>
          </w:p>
          <w:p>
            <w:pPr>
              <w:pStyle w:val="TableContents"/>
              <w:bidi w:val="0"/>
              <w:spacing w:before="0" w:after="20"/>
              <w:jc w:val="center"/>
              <w:rPr>
                <w:rFonts w:ascii="Times New Roman" w:hAnsi="Times New Roman"/>
                <w:sz w:val="20"/>
              </w:rPr>
            </w:pPr>
            <w:r>
              <w:rPr>
                <w:rFonts w:ascii="Times New Roman" w:hAnsi="Times New Roman"/>
                <w:sz w:val="20"/>
              </w:rPr>
              <w:t>Mary Anne Heino</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Chairperson of the Board</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J. Marshall, Jr.</w:t>
            </w:r>
          </w:p>
          <w:p>
            <w:pPr>
              <w:pStyle w:val="TableContents"/>
              <w:bidi w:val="0"/>
              <w:spacing w:before="0" w:after="20"/>
              <w:jc w:val="center"/>
              <w:rPr>
                <w:rFonts w:ascii="Times New Roman" w:hAnsi="Times New Roman"/>
                <w:sz w:val="20"/>
              </w:rPr>
            </w:pPr>
            <w:r>
              <w:rPr>
                <w:rFonts w:ascii="Times New Roman" w:hAnsi="Times New Roman"/>
                <w:sz w:val="20"/>
              </w:rPr>
              <w:t>Robert J. Marshall, Jr.</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Kimberly Brown</w:t>
            </w:r>
          </w:p>
          <w:p>
            <w:pPr>
              <w:pStyle w:val="TableContents"/>
              <w:bidi w:val="0"/>
              <w:spacing w:before="0" w:after="20"/>
              <w:jc w:val="center"/>
              <w:rPr>
                <w:rFonts w:ascii="Times New Roman" w:hAnsi="Times New Roman"/>
                <w:sz w:val="20"/>
              </w:rPr>
            </w:pPr>
            <w:r>
              <w:rPr>
                <w:rFonts w:ascii="Times New Roman" w:hAnsi="Times New Roman"/>
                <w:sz w:val="20"/>
              </w:rPr>
              <w:t>Kimberly Brown</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Minnie Baylor-Henry</w:t>
            </w:r>
          </w:p>
          <w:p>
            <w:pPr>
              <w:pStyle w:val="TableContents"/>
              <w:bidi w:val="0"/>
              <w:spacing w:before="0" w:after="20"/>
              <w:jc w:val="center"/>
              <w:rPr>
                <w:rFonts w:ascii="Times New Roman" w:hAnsi="Times New Roman"/>
                <w:sz w:val="20"/>
              </w:rPr>
            </w:pPr>
            <w:r>
              <w:rPr>
                <w:rFonts w:ascii="Times New Roman" w:hAnsi="Times New Roman"/>
                <w:sz w:val="20"/>
              </w:rPr>
              <w:t>Minnie Baylor-Henry</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283"/>
              <w:jc w:val="center"/>
              <w:rPr/>
            </w:pPr>
            <w:r>
              <w:rPr/>
              <w:t>Director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Dr. Gérard Ber</w:t>
            </w:r>
          </w:p>
          <w:p>
            <w:pPr>
              <w:pStyle w:val="TableContents"/>
              <w:bidi w:val="0"/>
              <w:spacing w:before="0" w:after="20"/>
              <w:jc w:val="center"/>
              <w:rPr>
                <w:rFonts w:ascii="Times New Roman" w:hAnsi="Times New Roman"/>
                <w:sz w:val="20"/>
              </w:rPr>
            </w:pPr>
            <w:r>
              <w:rPr>
                <w:rFonts w:ascii="Times New Roman" w:hAnsi="Times New Roman"/>
                <w:sz w:val="20"/>
              </w:rPr>
              <w:t>Dr. Gérard Ber</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283"/>
              <w:jc w:val="center"/>
              <w:rPr/>
            </w:pPr>
            <w:r>
              <w:rPr/>
              <w:t>Director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Julie Eastland</w:t>
            </w:r>
          </w:p>
          <w:p>
            <w:pPr>
              <w:pStyle w:val="TableContents"/>
              <w:bidi w:val="0"/>
              <w:spacing w:before="0" w:after="20"/>
              <w:jc w:val="center"/>
              <w:rPr>
                <w:rFonts w:ascii="Times New Roman" w:hAnsi="Times New Roman"/>
                <w:sz w:val="20"/>
              </w:rPr>
            </w:pPr>
            <w:r>
              <w:rPr>
                <w:rFonts w:ascii="Times New Roman" w:hAnsi="Times New Roman"/>
                <w:sz w:val="20"/>
              </w:rPr>
              <w:t>Julie Eastland</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283"/>
              <w:jc w:val="center"/>
              <w:rPr/>
            </w:pPr>
            <w:r>
              <w:rPr/>
              <w:t>Director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431" w:type="dxa"/>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c>
          <w:tcPr>
            <w:tcW w:w="1998" w:type="dxa"/>
            <w:gridSpan w:val="2"/>
            <w:tcBorders/>
            <w:vAlign w:val="center"/>
          </w:tcPr>
          <w:p>
            <w:pPr>
              <w:pStyle w:val="TableContents"/>
              <w:bidi w:val="0"/>
              <w:spacing w:before="0" w:after="283"/>
              <w:jc w:val="left"/>
              <w:rPr>
                <w:sz w:val="4"/>
                <w:szCs w:val="4"/>
              </w:rPr>
            </w:pPr>
            <w:r>
              <w:rPr>
                <w:sz w:val="4"/>
                <w:szCs w:val="4"/>
              </w:rPr>
            </w:r>
          </w:p>
        </w:tc>
      </w:tr>
      <w:tr>
        <w:trPr/>
        <w:tc>
          <w:tcPr>
            <w:tcW w:w="34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Samuel R. Leno</w:t>
            </w:r>
          </w:p>
          <w:p>
            <w:pPr>
              <w:pStyle w:val="TableContents"/>
              <w:bidi w:val="0"/>
              <w:spacing w:before="0" w:after="20"/>
              <w:jc w:val="center"/>
              <w:rPr>
                <w:rFonts w:ascii="Times New Roman" w:hAnsi="Times New Roman"/>
                <w:sz w:val="20"/>
              </w:rPr>
            </w:pPr>
            <w:r>
              <w:rPr>
                <w:rFonts w:ascii="Times New Roman" w:hAnsi="Times New Roman"/>
                <w:sz w:val="20"/>
              </w:rPr>
              <w:t>Samuel R. Leno</w:t>
            </w:r>
          </w:p>
        </w:tc>
        <w:tc>
          <w:tcPr>
            <w:tcW w:w="120" w:type="dxa"/>
            <w:tcBorders/>
            <w:vAlign w:val="bottom"/>
          </w:tcPr>
          <w:p>
            <w:pPr>
              <w:pStyle w:val="TableContents"/>
              <w:bidi w:val="0"/>
              <w:spacing w:before="0" w:after="283"/>
              <w:jc w:val="left"/>
              <w:rPr/>
            </w:pPr>
            <w:r>
              <w:rPr/>
              <w:t>  </w:t>
            </w:r>
          </w:p>
        </w:tc>
        <w:tc>
          <w:tcPr>
            <w:tcW w:w="4656" w:type="dxa"/>
            <w:tcBorders/>
          </w:tcPr>
          <w:p>
            <w:pPr>
              <w:pStyle w:val="TableContents"/>
              <w:bidi w:val="0"/>
              <w:spacing w:before="0" w:after="283"/>
              <w:jc w:val="center"/>
              <w:rPr/>
            </w:pPr>
            <w:r>
              <w:rPr/>
              <w:t>Director</w:t>
            </w:r>
          </w:p>
        </w:tc>
        <w:tc>
          <w:tcPr>
            <w:tcW w:w="100"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773"/>
        <w:gridCol w:w="120"/>
        <w:gridCol w:w="4308"/>
        <w:gridCol w:w="106"/>
        <w:gridCol w:w="1898"/>
      </w:tblGrid>
      <w:tr>
        <w:trPr/>
        <w:tc>
          <w:tcPr>
            <w:tcW w:w="37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0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Heinz Mäusli</w:t>
            </w:r>
          </w:p>
          <w:p>
            <w:pPr>
              <w:pStyle w:val="TableContents"/>
              <w:bidi w:val="0"/>
              <w:spacing w:before="0" w:after="20"/>
              <w:jc w:val="center"/>
              <w:rPr>
                <w:rFonts w:ascii="Times New Roman" w:hAnsi="Times New Roman"/>
                <w:sz w:val="20"/>
              </w:rPr>
            </w:pPr>
            <w:r>
              <w:rPr>
                <w:rFonts w:ascii="Times New Roman" w:hAnsi="Times New Roman"/>
                <w:sz w:val="20"/>
              </w:rPr>
              <w:t>Heinz Mäusli</w:t>
            </w:r>
          </w:p>
        </w:tc>
        <w:tc>
          <w:tcPr>
            <w:tcW w:w="120" w:type="dxa"/>
            <w:tcBorders/>
            <w:vAlign w:val="bottom"/>
          </w:tcPr>
          <w:p>
            <w:pPr>
              <w:pStyle w:val="TableContents"/>
              <w:bidi w:val="0"/>
              <w:spacing w:before="0" w:after="283"/>
              <w:jc w:val="left"/>
              <w:rPr/>
            </w:pPr>
            <w:r>
              <w:rPr/>
              <w:t>  </w:t>
            </w:r>
          </w:p>
        </w:tc>
        <w:tc>
          <w:tcPr>
            <w:tcW w:w="4308"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773" w:type="dxa"/>
            <w:tcBorders/>
            <w:vAlign w:val="center"/>
          </w:tcPr>
          <w:p>
            <w:pPr>
              <w:pStyle w:val="TableContents"/>
              <w:bidi w:val="0"/>
              <w:spacing w:before="0" w:after="283"/>
              <w:jc w:val="left"/>
              <w:rPr>
                <w:sz w:val="4"/>
                <w:szCs w:val="4"/>
              </w:rPr>
            </w:pPr>
            <w:r>
              <w:rPr>
                <w:sz w:val="4"/>
                <w:szCs w:val="4"/>
              </w:rPr>
            </w:r>
          </w:p>
        </w:tc>
        <w:tc>
          <w:tcPr>
            <w:tcW w:w="4428" w:type="dxa"/>
            <w:gridSpan w:val="2"/>
            <w:tcBorders/>
            <w:vAlign w:val="center"/>
          </w:tcPr>
          <w:p>
            <w:pPr>
              <w:pStyle w:val="TableContents"/>
              <w:bidi w:val="0"/>
              <w:spacing w:before="0" w:after="283"/>
              <w:jc w:val="left"/>
              <w:rPr>
                <w:sz w:val="4"/>
                <w:szCs w:val="4"/>
              </w:rPr>
            </w:pPr>
            <w:r>
              <w:rPr>
                <w:sz w:val="4"/>
                <w:szCs w:val="4"/>
              </w:rPr>
            </w:r>
          </w:p>
        </w:tc>
        <w:tc>
          <w:tcPr>
            <w:tcW w:w="2004"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Julie H. McHugh</w:t>
            </w:r>
          </w:p>
          <w:p>
            <w:pPr>
              <w:pStyle w:val="TableContents"/>
              <w:bidi w:val="0"/>
              <w:spacing w:before="0" w:after="20"/>
              <w:jc w:val="center"/>
              <w:rPr>
                <w:rFonts w:ascii="Times New Roman" w:hAnsi="Times New Roman"/>
                <w:sz w:val="20"/>
              </w:rPr>
            </w:pPr>
            <w:r>
              <w:rPr>
                <w:rFonts w:ascii="Times New Roman" w:hAnsi="Times New Roman"/>
                <w:sz w:val="20"/>
              </w:rPr>
              <w:t>Julie H. McHugh</w:t>
            </w:r>
          </w:p>
        </w:tc>
        <w:tc>
          <w:tcPr>
            <w:tcW w:w="120" w:type="dxa"/>
            <w:tcBorders/>
            <w:vAlign w:val="bottom"/>
          </w:tcPr>
          <w:p>
            <w:pPr>
              <w:pStyle w:val="TableContents"/>
              <w:bidi w:val="0"/>
              <w:spacing w:before="0" w:after="283"/>
              <w:jc w:val="left"/>
              <w:rPr/>
            </w:pPr>
            <w:r>
              <w:rPr/>
              <w:t>  </w:t>
            </w:r>
          </w:p>
        </w:tc>
        <w:tc>
          <w:tcPr>
            <w:tcW w:w="4308"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773" w:type="dxa"/>
            <w:tcBorders/>
            <w:vAlign w:val="center"/>
          </w:tcPr>
          <w:p>
            <w:pPr>
              <w:pStyle w:val="TableContents"/>
              <w:bidi w:val="0"/>
              <w:spacing w:before="0" w:after="283"/>
              <w:jc w:val="left"/>
              <w:rPr>
                <w:sz w:val="4"/>
                <w:szCs w:val="4"/>
              </w:rPr>
            </w:pPr>
            <w:r>
              <w:rPr>
                <w:sz w:val="4"/>
                <w:szCs w:val="4"/>
              </w:rPr>
            </w:r>
          </w:p>
        </w:tc>
        <w:tc>
          <w:tcPr>
            <w:tcW w:w="4428" w:type="dxa"/>
            <w:gridSpan w:val="2"/>
            <w:tcBorders/>
            <w:vAlign w:val="center"/>
          </w:tcPr>
          <w:p>
            <w:pPr>
              <w:pStyle w:val="TableContents"/>
              <w:bidi w:val="0"/>
              <w:spacing w:before="0" w:after="283"/>
              <w:jc w:val="left"/>
              <w:rPr>
                <w:sz w:val="4"/>
                <w:szCs w:val="4"/>
              </w:rPr>
            </w:pPr>
            <w:r>
              <w:rPr>
                <w:sz w:val="4"/>
                <w:szCs w:val="4"/>
              </w:rPr>
            </w:r>
          </w:p>
        </w:tc>
        <w:tc>
          <w:tcPr>
            <w:tcW w:w="2004"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Dr. Phuong Khanh Morrow</w:t>
            </w:r>
          </w:p>
          <w:p>
            <w:pPr>
              <w:pStyle w:val="TableContents"/>
              <w:bidi w:val="0"/>
              <w:spacing w:before="0" w:after="20"/>
              <w:jc w:val="center"/>
              <w:rPr>
                <w:rFonts w:ascii="Times New Roman" w:hAnsi="Times New Roman"/>
                <w:sz w:val="20"/>
              </w:rPr>
            </w:pPr>
            <w:r>
              <w:rPr>
                <w:rFonts w:ascii="Times New Roman" w:hAnsi="Times New Roman"/>
                <w:sz w:val="20"/>
              </w:rPr>
              <w:t>Dr. Phuong Khanh Morrow</w:t>
            </w:r>
          </w:p>
        </w:tc>
        <w:tc>
          <w:tcPr>
            <w:tcW w:w="120" w:type="dxa"/>
            <w:tcBorders/>
            <w:vAlign w:val="bottom"/>
          </w:tcPr>
          <w:p>
            <w:pPr>
              <w:pStyle w:val="TableContents"/>
              <w:bidi w:val="0"/>
              <w:spacing w:before="0" w:after="283"/>
              <w:jc w:val="left"/>
              <w:rPr/>
            </w:pPr>
            <w:r>
              <w:rPr/>
              <w:t>  </w:t>
            </w:r>
          </w:p>
        </w:tc>
        <w:tc>
          <w:tcPr>
            <w:tcW w:w="4308"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773" w:type="dxa"/>
            <w:tcBorders/>
            <w:vAlign w:val="center"/>
          </w:tcPr>
          <w:p>
            <w:pPr>
              <w:pStyle w:val="TableContents"/>
              <w:bidi w:val="0"/>
              <w:spacing w:before="0" w:after="283"/>
              <w:jc w:val="left"/>
              <w:rPr>
                <w:sz w:val="4"/>
                <w:szCs w:val="4"/>
              </w:rPr>
            </w:pPr>
            <w:r>
              <w:rPr>
                <w:sz w:val="4"/>
                <w:szCs w:val="4"/>
              </w:rPr>
            </w:r>
          </w:p>
        </w:tc>
        <w:tc>
          <w:tcPr>
            <w:tcW w:w="4428" w:type="dxa"/>
            <w:gridSpan w:val="2"/>
            <w:tcBorders/>
            <w:vAlign w:val="center"/>
          </w:tcPr>
          <w:p>
            <w:pPr>
              <w:pStyle w:val="TableContents"/>
              <w:bidi w:val="0"/>
              <w:spacing w:before="0" w:after="283"/>
              <w:jc w:val="left"/>
              <w:rPr>
                <w:sz w:val="4"/>
                <w:szCs w:val="4"/>
              </w:rPr>
            </w:pPr>
            <w:r>
              <w:rPr>
                <w:sz w:val="4"/>
                <w:szCs w:val="4"/>
              </w:rPr>
            </w:r>
          </w:p>
        </w:tc>
        <w:tc>
          <w:tcPr>
            <w:tcW w:w="2004"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Gary J. Pruden</w:t>
            </w:r>
          </w:p>
          <w:p>
            <w:pPr>
              <w:pStyle w:val="TableContents"/>
              <w:bidi w:val="0"/>
              <w:spacing w:before="0" w:after="20"/>
              <w:jc w:val="center"/>
              <w:rPr>
                <w:rFonts w:ascii="Times New Roman" w:hAnsi="Times New Roman"/>
                <w:sz w:val="20"/>
              </w:rPr>
            </w:pPr>
            <w:r>
              <w:rPr>
                <w:rFonts w:ascii="Times New Roman" w:hAnsi="Times New Roman"/>
                <w:sz w:val="20"/>
              </w:rPr>
              <w:t>Gary J. Pruden</w:t>
            </w:r>
          </w:p>
        </w:tc>
        <w:tc>
          <w:tcPr>
            <w:tcW w:w="120" w:type="dxa"/>
            <w:tcBorders/>
            <w:vAlign w:val="bottom"/>
          </w:tcPr>
          <w:p>
            <w:pPr>
              <w:pStyle w:val="TableContents"/>
              <w:bidi w:val="0"/>
              <w:spacing w:before="0" w:after="283"/>
              <w:jc w:val="left"/>
              <w:rPr/>
            </w:pPr>
            <w:r>
              <w:rPr/>
              <w:t>  </w:t>
            </w:r>
          </w:p>
        </w:tc>
        <w:tc>
          <w:tcPr>
            <w:tcW w:w="4308"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r>
        <w:trPr>
          <w:trHeight w:val="240" w:hRule="atLeast"/>
        </w:trPr>
        <w:tc>
          <w:tcPr>
            <w:tcW w:w="3773" w:type="dxa"/>
            <w:tcBorders/>
            <w:vAlign w:val="center"/>
          </w:tcPr>
          <w:p>
            <w:pPr>
              <w:pStyle w:val="TableContents"/>
              <w:bidi w:val="0"/>
              <w:spacing w:before="0" w:after="283"/>
              <w:jc w:val="left"/>
              <w:rPr>
                <w:sz w:val="4"/>
                <w:szCs w:val="4"/>
              </w:rPr>
            </w:pPr>
            <w:r>
              <w:rPr>
                <w:sz w:val="4"/>
                <w:szCs w:val="4"/>
              </w:rPr>
            </w:r>
          </w:p>
        </w:tc>
        <w:tc>
          <w:tcPr>
            <w:tcW w:w="4428" w:type="dxa"/>
            <w:gridSpan w:val="2"/>
            <w:tcBorders/>
            <w:vAlign w:val="center"/>
          </w:tcPr>
          <w:p>
            <w:pPr>
              <w:pStyle w:val="TableContents"/>
              <w:bidi w:val="0"/>
              <w:spacing w:before="0" w:after="283"/>
              <w:jc w:val="left"/>
              <w:rPr>
                <w:sz w:val="4"/>
                <w:szCs w:val="4"/>
              </w:rPr>
            </w:pPr>
            <w:r>
              <w:rPr>
                <w:sz w:val="4"/>
                <w:szCs w:val="4"/>
              </w:rPr>
            </w:r>
          </w:p>
        </w:tc>
        <w:tc>
          <w:tcPr>
            <w:tcW w:w="2004" w:type="dxa"/>
            <w:gridSpan w:val="2"/>
            <w:tcBorders/>
            <w:vAlign w:val="center"/>
          </w:tcPr>
          <w:p>
            <w:pPr>
              <w:pStyle w:val="TableContents"/>
              <w:bidi w:val="0"/>
              <w:spacing w:before="0" w:after="283"/>
              <w:jc w:val="left"/>
              <w:rPr>
                <w:sz w:val="4"/>
                <w:szCs w:val="4"/>
              </w:rPr>
            </w:pPr>
            <w:r>
              <w:rPr>
                <w:sz w:val="4"/>
                <w:szCs w:val="4"/>
              </w:rPr>
            </w:r>
          </w:p>
        </w:tc>
      </w:tr>
      <w:tr>
        <w:trPr/>
        <w:tc>
          <w:tcPr>
            <w:tcW w:w="377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Dr. James H. Thrall</w:t>
            </w:r>
          </w:p>
          <w:p>
            <w:pPr>
              <w:pStyle w:val="TableContents"/>
              <w:bidi w:val="0"/>
              <w:spacing w:before="0" w:after="20"/>
              <w:jc w:val="center"/>
              <w:rPr>
                <w:rFonts w:ascii="Times New Roman" w:hAnsi="Times New Roman"/>
                <w:sz w:val="20"/>
              </w:rPr>
            </w:pPr>
            <w:r>
              <w:rPr>
                <w:rFonts w:ascii="Times New Roman" w:hAnsi="Times New Roman"/>
                <w:sz w:val="20"/>
              </w:rPr>
              <w:t>Dr. James H. Thrall</w:t>
            </w:r>
          </w:p>
        </w:tc>
        <w:tc>
          <w:tcPr>
            <w:tcW w:w="120" w:type="dxa"/>
            <w:tcBorders/>
            <w:vAlign w:val="bottom"/>
          </w:tcPr>
          <w:p>
            <w:pPr>
              <w:pStyle w:val="TableContents"/>
              <w:bidi w:val="0"/>
              <w:spacing w:before="0" w:after="283"/>
              <w:jc w:val="left"/>
              <w:rPr/>
            </w:pPr>
            <w:r>
              <w:rPr/>
              <w:t>  </w:t>
            </w:r>
          </w:p>
        </w:tc>
        <w:tc>
          <w:tcPr>
            <w:tcW w:w="4308"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September 2, 2026</w:t>
            </w:r>
          </w:p>
        </w:tc>
      </w:tr>
    </w:tbl>
    <w:p>
      <w:pPr>
        <w:pStyle w:val="TextBody"/>
        <w:bidi w:val="0"/>
        <w:spacing w:before="0" w:after="0"/>
        <w:jc w:val="right"/>
        <w:rPr>
          <w:rFonts w:ascii="Times New Roman" w:hAnsi="Times New Roman"/>
          <w:b/>
          <w:sz w:val="20"/>
        </w:rPr>
      </w:pPr>
      <w:bookmarkStart w:id="3" w:name="d160962dex51.htm"/>
      <w:bookmarkStart w:id="4" w:name="ksd160962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6"/>
        <w:gridCol w:w="105"/>
        <w:gridCol w:w="3130"/>
        <w:gridCol w:w="120"/>
        <w:gridCol w:w="3054"/>
      </w:tblGrid>
      <w:tr>
        <w:trPr/>
        <w:tc>
          <w:tcPr>
            <w:tcW w:w="379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283"/>
              <w:jc w:val="left"/>
              <w:rPr/>
            </w:pPr>
            <w:r>
              <w:rPr/>
              <w:drawing>
                <wp:inline distT="0" distB="0" distL="0" distR="0">
                  <wp:extent cx="20478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2047875" cy="66675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3130" w:type="dxa"/>
            <w:tcBorders/>
            <w:vAlign w:val="center"/>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3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Seaport West</w:t>
            </w:r>
          </w:p>
          <w:p>
            <w:pPr>
              <w:pStyle w:val="TableContents"/>
              <w:bidi w:val="0"/>
              <w:spacing w:before="0" w:after="0"/>
              <w:jc w:val="left"/>
              <w:rPr>
                <w:rFonts w:ascii="Times New Roman" w:hAnsi="Times New Roman"/>
                <w:sz w:val="20"/>
              </w:rPr>
            </w:pPr>
            <w:r>
              <w:rPr>
                <w:rFonts w:ascii="Times New Roman" w:hAnsi="Times New Roman"/>
                <w:sz w:val="20"/>
              </w:rPr>
              <w:t>155 Seaport Boulevard</w:t>
            </w:r>
          </w:p>
          <w:p>
            <w:pPr>
              <w:pStyle w:val="TableContents"/>
              <w:bidi w:val="0"/>
              <w:spacing w:before="0" w:after="0"/>
              <w:jc w:val="left"/>
              <w:rPr>
                <w:rFonts w:ascii="Times New Roman" w:hAnsi="Times New Roman"/>
                <w:sz w:val="20"/>
              </w:rPr>
            </w:pPr>
            <w:r>
              <w:rPr>
                <w:rFonts w:ascii="Times New Roman" w:hAnsi="Times New Roman"/>
                <w:sz w:val="20"/>
              </w:rPr>
              <w:t>Boston, MA 02210-2600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617 832 1000 </w:t>
            </w:r>
            <w:r>
              <w:rPr>
                <w:rFonts w:ascii="Times New Roman" w:hAnsi="Times New Roman"/>
                <w:i/>
                <w:sz w:val="20"/>
              </w:rPr>
              <w:t>main</w:t>
            </w:r>
          </w:p>
          <w:p>
            <w:pPr>
              <w:pStyle w:val="TableContents"/>
              <w:bidi w:val="0"/>
              <w:spacing w:before="0" w:after="20"/>
              <w:jc w:val="left"/>
              <w:rPr>
                <w:rFonts w:ascii="Times New Roman" w:hAnsi="Times New Roman"/>
                <w:sz w:val="20"/>
              </w:rPr>
            </w:pPr>
            <w:r>
              <w:rPr>
                <w:rFonts w:ascii="Times New Roman" w:hAnsi="Times New Roman"/>
                <w:sz w:val="20"/>
              </w:rPr>
              <w:t xml:space="preserve">617 832 7000 </w:t>
            </w:r>
            <w:r>
              <w:rPr>
                <w:rFonts w:ascii="Times New Roman" w:hAnsi="Times New Roman"/>
                <w:i/>
                <w:sz w:val="20"/>
              </w:rPr>
              <w:t>fax</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2, 2026 </w:t>
      </w:r>
    </w:p>
    <w:p>
      <w:pPr>
        <w:pStyle w:val="TextBody"/>
        <w:bidi w:val="0"/>
        <w:spacing w:before="24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Massachusetts 01730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S-8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familiar with the Registration Statement on Form S-8 (the “</w:t>
      </w:r>
      <w:r>
        <w:rPr>
          <w:rFonts w:ascii="Times New Roman" w:hAnsi="Times New Roman"/>
          <w:b/>
          <w:sz w:val="20"/>
        </w:rPr>
        <w:t>Registration Statement</w:t>
      </w:r>
      <w:r>
        <w:rPr>
          <w:rFonts w:ascii="Times New Roman" w:hAnsi="Times New Roman"/>
          <w:sz w:val="20"/>
        </w:rPr>
        <w:t>”) being filed by Lantheus Holdings, Inc., a Delaware corporation (the “</w:t>
      </w:r>
      <w:r>
        <w:rPr>
          <w:rFonts w:ascii="Times New Roman" w:hAnsi="Times New Roman"/>
          <w:b/>
          <w:sz w:val="20"/>
        </w:rPr>
        <w:t>Company</w:t>
      </w:r>
      <w:r>
        <w:rPr>
          <w:rFonts w:ascii="Times New Roman" w:hAnsi="Times New Roman"/>
          <w:sz w:val="20"/>
        </w:rPr>
        <w:t>”), with the Securities and Exchange Commission (the “</w:t>
      </w:r>
      <w:r>
        <w:rPr>
          <w:rFonts w:ascii="Times New Roman" w:hAnsi="Times New Roman"/>
          <w:b/>
          <w:sz w:val="20"/>
        </w:rPr>
        <w:t>Commission</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on the date hereof. The Registration Statement relates to the offer and sale by the Company of up to 2,000,000 shares (the “</w:t>
      </w:r>
      <w:r>
        <w:rPr>
          <w:rFonts w:ascii="Times New Roman" w:hAnsi="Times New Roman"/>
          <w:b/>
          <w:sz w:val="20"/>
        </w:rPr>
        <w:t>Shares</w:t>
      </w:r>
      <w:r>
        <w:rPr>
          <w:rFonts w:ascii="Times New Roman" w:hAnsi="Times New Roman"/>
          <w:sz w:val="20"/>
        </w:rPr>
        <w:t>”) of its common stock, par value $0.01 per share (“</w:t>
      </w:r>
      <w:r>
        <w:rPr>
          <w:rFonts w:ascii="Times New Roman" w:hAnsi="Times New Roman"/>
          <w:b/>
          <w:sz w:val="20"/>
        </w:rPr>
        <w:t>Common Stock</w:t>
      </w:r>
      <w:r>
        <w:rPr>
          <w:rFonts w:ascii="Times New Roman" w:hAnsi="Times New Roman"/>
          <w:sz w:val="20"/>
        </w:rPr>
        <w:t>”), issuable under the Lantheus Holdings, Inc. Amended and Restated 2026 Equity Incentive Plan (f/k/a the Lantheus Holdings, Inc. 2015 Equity Incentive Plan) (the “</w:t>
      </w:r>
      <w:r>
        <w:rPr>
          <w:rFonts w:ascii="Times New Roman" w:hAnsi="Times New Roman"/>
          <w:b/>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examined the Certificate of Incorporation and Bylaws of the Company, each as amended and restated to date, the records of meetings and consents of the Company’s Board of Directors, or committees thereof, records of the proceedings of its stockholders deemed to be relevant to this opinion letter, and the Plan, each as provided to us by the Company, and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 We have also made such investigations of law as we have deemed appropriate as a basis for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that the purchase price or other consideration to be received by the Company for the Shares will be valid consideration equal to or in excess of the par value thereof.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we express no opinion other than as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it is our opinion that the Shares, when issued and delivered in accordance with the terms of the Plan and the awards thereunder against the Company’s receipt of the purchase price or other consideration therefor,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to be used only in connection with the offer and sale of the Shares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delivered solely for the benefit of the Company and such other persons as are entitled to rely upon it pursuant to the applicable provisions of the Securities Act. This opinion may not be used, quoted, relied upon or referred to for any other purpose, nor may it be used, quoted, relied upon or referred to by any other person, for any purpose, without our prior written consent.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1"/>
        <w:gridCol w:w="60"/>
        <w:gridCol w:w="3611"/>
      </w:tblGrid>
      <w:tr>
        <w:trPr/>
        <w:tc>
          <w:tcPr>
            <w:tcW w:w="4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FOLEY HOAG LLP</w:t>
            </w:r>
          </w:p>
        </w:tc>
      </w:tr>
      <w:tr>
        <w:trPr>
          <w:trHeight w:val="240" w:hRule="atLeast"/>
        </w:trPr>
        <w:tc>
          <w:tcPr>
            <w:tcW w:w="411" w:type="dxa"/>
            <w:tcBorders/>
            <w:vAlign w:val="center"/>
          </w:tcPr>
          <w:p>
            <w:pPr>
              <w:pStyle w:val="TableContents"/>
              <w:bidi w:val="0"/>
              <w:spacing w:before="0" w:after="283"/>
              <w:jc w:val="left"/>
              <w:rPr>
                <w:sz w:val="4"/>
                <w:szCs w:val="4"/>
              </w:rPr>
            </w:pPr>
            <w:r>
              <w:rPr>
                <w:sz w:val="4"/>
                <w:szCs w:val="4"/>
              </w:rPr>
            </w:r>
          </w:p>
        </w:tc>
        <w:tc>
          <w:tcPr>
            <w:tcW w:w="3671"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Stacie S. Aarestad</w:t>
            </w:r>
          </w:p>
        </w:tc>
      </w:tr>
      <w:tr>
        <w:trPr/>
        <w:tc>
          <w:tcPr>
            <w:tcW w:w="4082" w:type="dxa"/>
            <w:gridSpan w:val="3"/>
            <w:tcBorders/>
          </w:tcPr>
          <w:p>
            <w:pPr>
              <w:pStyle w:val="TableContents"/>
              <w:bidi w:val="0"/>
              <w:spacing w:before="0" w:after="283"/>
              <w:jc w:val="left"/>
              <w:rPr/>
            </w:pPr>
            <w:r>
              <w:rPr/>
              <w:t>a Partner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5" w:name="d160962dex231.htm"/>
      <w:bookmarkStart w:id="6" w:name="ksd160962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reports dated February 26, 2026, relating to the financial statements of Lantheus Holdings, Inc. and the effectiveness of Lantheus Holdings, Inc.’s internal control over financial reporting, appearing in the Annual Report on Form 10-K of Lantheus Holdings, Inc.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Deloitte &amp; Touche LLP</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Boston, Massachusetts</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September 2, 2026</w:t>
            </w:r>
          </w:p>
        </w:tc>
      </w:tr>
    </w:tbl>
    <w:p>
      <w:pPr>
        <w:pStyle w:val="Normal"/>
        <w:bidi w:val="0"/>
        <w:spacing w:before="0" w:after="0"/>
        <w:jc w:val="left"/>
        <w:rPr>
          <w:sz w:val="4"/>
          <w:szCs w:val="4"/>
        </w:rPr>
      </w:pPr>
      <w:r>
        <w:rPr>
          <w:sz w:val="4"/>
          <w:szCs w:val="4"/>
        </w:rPr>
      </w:r>
      <w:bookmarkStart w:id="7" w:name="d160962dexfilingfees.htm"/>
      <w:bookmarkStart w:id="8" w:name="ksd160962dexfilingfees"/>
      <w:bookmarkStart w:id="9" w:name="d160962dexfilingfees.htm"/>
      <w:bookmarkStart w:id="10" w:name="ksd160962dexfilingfees"/>
      <w:bookmarkEnd w:id="9"/>
      <w:bookmarkEnd w:id="1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Lantheus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$0.01 par value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2,000,000 </w:t>
            </w:r>
          </w:p>
        </w:tc>
        <w:tc>
          <w:tcPr>
            <w:tcW w:w="1183" w:type="dxa"/>
            <w:tcBorders/>
            <w:shd w:fill="E7E7E2" w:val="clear"/>
            <w:vAlign w:val="center"/>
          </w:tcPr>
          <w:p>
            <w:pPr>
              <w:pStyle w:val="TableContents"/>
              <w:bidi w:val="0"/>
              <w:spacing w:before="0" w:after="283"/>
              <w:jc w:val="left"/>
              <w:rPr>
                <w:sz w:val="4"/>
                <w:szCs w:val="4"/>
              </w:rPr>
            </w:pPr>
            <w:r>
              <w:rPr>
                <w:sz w:val="4"/>
                <w:szCs w:val="4"/>
              </w:rPr>
            </w:r>
          </w:p>
        </w:tc>
        <w:tc>
          <w:tcPr>
            <w:tcW w:w="1801" w:type="dxa"/>
            <w:tcBorders/>
            <w:shd w:fill="E7E7E2" w:val="clear"/>
            <w:vAlign w:val="center"/>
          </w:tcPr>
          <w:p>
            <w:pPr>
              <w:pStyle w:val="TableContents"/>
              <w:bidi w:val="0"/>
              <w:spacing w:before="0" w:after="283"/>
              <w:jc w:val="right"/>
              <w:rPr/>
            </w:pPr>
            <w:r>
              <w:rPr/>
              <w:t xml:space="preserve">$ 201,800,000.00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$ 27,868.58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1" w:name="MaxAggtOfferingPrice"/>
            <w:bookmarkEnd w:id="11"/>
            <w:r>
              <w:rPr/>
              <w:t xml:space="preserve">$ 201,800,000.00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$ 27,868.58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4" w:name="NetFeeAmt"/>
            <w:bookmarkEnd w:id="14"/>
            <w:r>
              <w:rPr/>
              <w:t xml:space="preserve">$ 27,868.58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Note 1a: Pursuant to Rule 416(a) under the Securities Act of 1933, as amended (the "Securities Act"), this registration statement on Form S-8 (the "Registration Statement") shall also cover any additional shares of the Registrant's common stock, $0.01 par value per share (the "Common Stock") that becomes issuable under the Lantheus Holdings, Inc. Amended and Restated 2026 Equity Incentive Plan (f/k/a the Lantheus Holdings, Inc. 2015 Equity Incentive Plan) (the "Plan") by reason of any stock dividend, stock split, recapitalization or other similar transaction effected without the receipt of consideration that increases the number of the Registrant's outstanding shares of Common Stock. Pursuant to Rule 416, this registration statement also covers an indeterminate number of shares which may be subject to grant or otherwise issuable after the operation of any such anti-dilution and other provisions. Note 1b: This Registration Statement covers 2,000,000 shares of the Registrant's Common Stock, which are issuable pursuant to the Plan Note 1c: The Proposed Maximum Offering Price per Share for the shares reserved for issuance under the Plan is estimated in accordance with Rule 457(c) and (h) under the Securities Act solely for the purpose of calculating the registration fee on the basis of $100.90, the average of the high and low prices of the Registrant's common stock as reported on The Nasdaq Global Market on August 26, 2026, which date is within five business days prior to the filing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1036/000119312515233801/d946596ds8.htm" TargetMode="External"/><Relationship Id="rId3" Type="http://schemas.openxmlformats.org/officeDocument/2006/relationships/hyperlink" Target="http://www.sec.gov/Archives/edgar/data/1521036/000119312516753495/d124645ds8.htm" TargetMode="External"/><Relationship Id="rId4" Type="http://schemas.openxmlformats.org/officeDocument/2006/relationships/hyperlink" Target="http://www.sec.gov/Archives/edgar/data/1521036/000119312517262221/d434102ds8.htm" TargetMode="External"/><Relationship Id="rId5" Type="http://schemas.openxmlformats.org/officeDocument/2006/relationships/hyperlink" Target="http://www.sec.gov/Archives/edgar/data/1521036/000119312519208748/d747381ds8.htm" TargetMode="External"/><Relationship Id="rId6" Type="http://schemas.openxmlformats.org/officeDocument/2006/relationships/hyperlink" Target="http://www.sec.gov/Archives/edgar/data/1521036/000119312521236337/d213751ds8.htm" TargetMode="External"/><Relationship Id="rId7" Type="http://schemas.openxmlformats.org/officeDocument/2006/relationships/hyperlink" Target="http://www.sec.gov/Archives/edgar/data/1521036/000119312522148760/d348069ds8.htm" TargetMode="External"/><Relationship Id="rId8" Type="http://schemas.openxmlformats.org/officeDocument/2006/relationships/hyperlink" Target="http://www.sec.gov/Archives/edgar/data/1521036/000119312524204453/d881359ds8.htm" TargetMode="External"/><Relationship Id="rId9" Type="http://schemas.openxmlformats.org/officeDocument/2006/relationships/hyperlink" Target="http://www.sec.gov/Archives/edgar/data/1521036/000119312518139044/d653114dex31.htm" TargetMode="External"/><Relationship Id="rId10" Type="http://schemas.openxmlformats.org/officeDocument/2006/relationships/hyperlink" Target="http://www.sec.gov/Archives/edgar/data/1521036/000119312526201556/d16067dex31.htm" TargetMode="External"/><Relationship Id="rId11" Type="http://schemas.openxmlformats.org/officeDocument/2006/relationships/hyperlink" Target="http://www.sec.gov/Archives/edgar/data/1521036/000119312525112812/d20698dex32.htm" TargetMode="External"/><Relationship Id="rId12" Type="http://schemas.openxmlformats.org/officeDocument/2006/relationships/hyperlink" Target="http://www.sec.gov/Archives/edgar/data/1521036/000119312515241429/d38431dex41.htm" TargetMode="External"/><Relationship Id="rId13" Type="http://schemas.openxmlformats.org/officeDocument/2006/relationships/hyperlink" Target="http://www.sec.gov/Archives/edgar/data/1521036/000119312526201556/d16067dex101.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2176</Words>
  <Characters>11773</Characters>
  <CharactersWithSpaces>14089</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