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Lantheus Holdings,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BURLINGTON ROAD, SOUTH BUILDING</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Perspective Therapeutics, Inc.</w:t>
              </w:r>
            </w:hyperlink>
            <w:r>
              <w:rPr/>
              <w:t xml:space="preserve"> [ </w:t>
            </w:r>
            <w:r>
              <w:rPr>
                <w:rFonts w:ascii="Times;serif" w:hAnsi="Times;serif"/>
                <w:color w:val="0000FF"/>
                <w:sz w:val="24"/>
                <w:shd w:fill="FFFFFF" w:val="clear"/>
              </w:rPr>
              <w:t>CATX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909"/>
        <w:gridCol w:w="432"/>
        <w:gridCol w:w="880"/>
        <w:gridCol w:w="1342"/>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35,769</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3.1193</w:t>
            </w:r>
            <w:r>
              <w:rPr>
                <w:rFonts w:ascii="Times;serif" w:hAnsi="Times;serif"/>
                <w:color w:val="008000"/>
                <w:position w:val="7"/>
                <w:sz w:val="16"/>
                <w:sz w:val="20"/>
                <w:shd w:fill="FFFFFF" w:val="clear"/>
              </w:rPr>
              <w:t>(1)</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11,563,425</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$3.08 to $3.165, inclusive. The reporting person undertakes to provide to Perspective Therapeutics, Inc. ("CATX"), any security holder of CATX or the staff of the Securities and Exchange Commission ("SEC"), upon request, full information regarding the number of shares sold at each separate price within the ranges set forth in this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directly held by Lantheus Alpha Therapy, LLC ("Lantheus"), a wholly owned indirect subsidiary of Lantheus Holdings, Inc. ("Lantheus Holdings"). Under SEC rules and regulations, Lantheus Holdings may be deemed to have indirect beneficial ownership of the shares held by Lantheus, which has direct beneficial ownership.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M. Green, Vice President, Deputy General Counsel and Assistant Corporate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1036" TargetMode="External"/><Relationship Id="rId5" Type="http://schemas.openxmlformats.org/officeDocument/2006/relationships/hyperlink" Target="http://www.sec.gov/cgi-bin/browse-edgar?action=getcompany&amp;CIK=00007283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698</Words>
  <Characters>3848</Characters>
  <CharactersWithSpaces>4479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