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1716ddefa14a.htm"/>
      <w:bookmarkStart w:id="1" w:name="ksd161716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Fee computed on table in exhibit required by Item 25(b) per Exchange Act Rules 14a6(i)(1) and 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 form of letter to the stockholders of Lantheus Holdings, Inc. (the “Company”) regarding the special meeting of the Company’s stockholders is provided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19907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0725" cy="447675"/>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[ ], 2026 </w:t>
      </w:r>
    </w:p>
    <w:p>
      <w:pPr>
        <w:pStyle w:val="TextBody"/>
        <w:bidi w:val="0"/>
        <w:spacing w:before="240" w:after="0"/>
        <w:jc w:val="left"/>
        <w:rPr>
          <w:rFonts w:ascii="Times New Roman" w:hAnsi="Times New Roman"/>
          <w:sz w:val="20"/>
        </w:rPr>
      </w:pPr>
      <w:r>
        <w:rPr>
          <w:rFonts w:ascii="Times New Roman" w:hAnsi="Times New Roman"/>
          <w:sz w:val="20"/>
        </w:rPr>
        <w:t xml:space="preserve">Dear Fellow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previously sent you proxy materials for the important special meeting of stockholders of Lantheus Holdings, Inc. (the “Company”) to be held on October 14, 2026, in connection with the transactions contemplated by the Agreement and Plan of Merger, dated as of August 3, 2026, by and among the Company, Curium US Holdings LLC and Coco Merger Sub Inc. (as it may be amended or supplemented from time to time, the “Merger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Your Board of Directors unanimously recommends that you vote FOR the approval of the Merger Agreement proposal and related proposals. </w:t>
      </w:r>
    </w:p>
    <w:p>
      <w:pPr>
        <w:pStyle w:val="TextBody"/>
        <w:bidi w:val="0"/>
        <w:spacing w:before="240" w:after="0"/>
        <w:jc w:val="left"/>
        <w:rPr>
          <w:rFonts w:ascii="Times New Roman" w:hAnsi="Times New Roman"/>
          <w:sz w:val="20"/>
        </w:rPr>
      </w:pPr>
      <w:r>
        <w:rPr>
          <w:rFonts w:ascii="Times New Roman" w:hAnsi="Times New Roman"/>
          <w:sz w:val="20"/>
        </w:rPr>
        <w:t xml:space="preserve">Your vote is very important. Please note that failing to vote will have the same effect as a vote </w:t>
      </w:r>
      <w:r>
        <w:rPr>
          <w:rFonts w:ascii="Times New Roman" w:hAnsi="Times New Roman"/>
          <w:b/>
          <w:i/>
          <w:sz w:val="20"/>
        </w:rPr>
        <w:t>against</w:t>
      </w:r>
      <w:r>
        <w:rPr>
          <w:rFonts w:ascii="Times New Roman" w:hAnsi="Times New Roman"/>
          <w:sz w:val="20"/>
        </w:rPr>
        <w:t xml:space="preserve"> the Merger Agreement proposal. </w:t>
      </w:r>
      <w:r>
        <w:rPr>
          <w:rFonts w:ascii="Times New Roman" w:hAnsi="Times New Roman"/>
          <w:b/>
          <w:sz w:val="20"/>
        </w:rPr>
        <w:t xml:space="preserve">If you have not already done so, please vote TODAY </w:t>
      </w:r>
      <w:r>
        <w:rPr>
          <w:rFonts w:ascii="Times New Roman" w:hAnsi="Times New Roman"/>
          <w:b/>
          <w:i/>
          <w:sz w:val="20"/>
        </w:rPr>
        <w:t>via</w:t>
      </w:r>
      <w:r>
        <w:rPr>
          <w:rFonts w:ascii="Times New Roman" w:hAnsi="Times New Roman"/>
          <w:sz w:val="20"/>
        </w:rPr>
        <w:t xml:space="preserve"> </w:t>
      </w:r>
      <w:r>
        <w:rPr>
          <w:rFonts w:ascii="Times New Roman" w:hAnsi="Times New Roman"/>
          <w:b/>
          <w:sz w:val="20"/>
        </w:rPr>
        <w:t xml:space="preserve">the Internet, by telephone, or by signing, dating, and returning the enclosed proxy card or voting instruction form in the envelope provided. (If you have received this letter by email, you may also vote by simply clicking on the </w:t>
      </w:r>
      <w:r>
        <w:rPr>
          <w:rFonts w:ascii="Times New Roman" w:hAnsi="Times New Roman"/>
          <w:sz w:val="20"/>
        </w:rPr>
        <w:t>“</w:t>
      </w:r>
      <w:r>
        <w:rPr>
          <w:rFonts w:ascii="Times New Roman" w:hAnsi="Times New Roman"/>
          <w:b/>
          <w:sz w:val="20"/>
        </w:rPr>
        <w:t>VOTE NOW</w:t>
      </w:r>
      <w:r>
        <w:rPr>
          <w:rFonts w:ascii="Times New Roman" w:hAnsi="Times New Roman"/>
          <w:sz w:val="20"/>
        </w:rPr>
        <w:t xml:space="preserve">” </w:t>
      </w:r>
      <w:r>
        <w:rPr>
          <w:rFonts w:ascii="Times New Roman" w:hAnsi="Times New Roman"/>
          <w:b/>
          <w:sz w:val="20"/>
        </w:rPr>
        <w:t>button in the accompanying email.)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support.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p>
      <w:pPr>
        <w:pStyle w:val="TextBody"/>
        <w:bidi w:val="0"/>
        <w:spacing w:before="0" w:after="0"/>
        <w:jc w:val="left"/>
        <w:rPr/>
      </w:pPr>
      <w:r>
        <w:rPr/>
        <w:drawing>
          <wp:inline distT="0" distB="0" distL="0" distR="0">
            <wp:extent cx="1914525" cy="857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14525" cy="8572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Mary Anne Heino, </w:t>
      </w:r>
    </w:p>
    <w:p>
      <w:pPr>
        <w:pStyle w:val="TextBody"/>
        <w:bidi w:val="0"/>
        <w:spacing w:before="0" w:after="0"/>
        <w:jc w:val="left"/>
        <w:rPr>
          <w:rFonts w:ascii="Times New Roman" w:hAnsi="Times New Roman"/>
          <w:sz w:val="20"/>
        </w:rPr>
      </w:pPr>
      <w:r>
        <w:rPr>
          <w:rFonts w:ascii="Times New Roman" w:hAnsi="Times New Roman"/>
          <w:sz w:val="20"/>
        </w:rPr>
        <w:t xml:space="preserve">Executive Chairperson and Interim Chief Executive Officer </w:t>
      </w:r>
    </w:p>
    <w:p>
      <w:pPr>
        <w:pStyle w:val="TextBody"/>
        <w:bidi w:val="0"/>
        <w:spacing w:before="0" w:after="0"/>
        <w:jc w:val="left"/>
        <w:rPr/>
      </w:pPr>
      <w:r>
        <w:rPr/>
        <w:t> </w:t>
      </w:r>
    </w:p>
    <w:p>
      <w:pPr>
        <w:pStyle w:val="TextBody"/>
        <w:pBdr/>
        <w:bidi w:val="0"/>
        <w:spacing w:before="0" w:after="0"/>
        <w:jc w:val="center"/>
        <w:rPr>
          <w:rFonts w:ascii="Times New Roman" w:hAnsi="Times New Roman"/>
          <w:b/>
          <w:i/>
          <w:sz w:val="20"/>
          <w:bdr w:val="single" w:sz="2" w:space="2" w:color="000000"/>
        </w:rPr>
      </w:pPr>
      <w:r>
        <w:rPr>
          <w:rFonts w:ascii="Times New Roman" w:hAnsi="Times New Roman"/>
          <w:b/>
          <w:i/>
          <w:sz w:val="20"/>
          <w:bdr w:val="single" w:sz="2" w:space="2" w:color="000000"/>
        </w:rPr>
        <w:t xml:space="preserve">YOUR VOTE IS IMPORTANT—PLEASE VOTE TODAY! </w:t>
      </w:r>
    </w:p>
    <w:p>
      <w:pPr>
        <w:pStyle w:val="TextBody"/>
        <w:bidi w:val="0"/>
        <w:spacing w:before="12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If you have any questions, or need assistance in voting </w:t>
      </w:r>
    </w:p>
    <w:p>
      <w:pPr>
        <w:pStyle w:val="TextBody"/>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your shares, please call our proxy solicitor: </w:t>
      </w:r>
    </w:p>
    <w:p>
      <w:pPr>
        <w:pStyle w:val="TextBody"/>
        <w:bidi w:val="0"/>
        <w:spacing w:before="12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INNISFREE M&amp;A INCORPORATED </w:t>
      </w:r>
    </w:p>
    <w:p>
      <w:pPr>
        <w:pStyle w:val="TextBody"/>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1 (877) 750-5838 (toll-free from the U.S. and Canada) or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+1 (412) 232-3651 (from other countries)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acquisition of the Company by Curium US Holdings LLC (“Parent”), the Company filed a definitive proxy statement with the Securities and Exchange Commission (the “SEC”) on September 8, 2026. This document is not a substitute for the definitive proxy statement or any other document that may be filed by the Company with the SEC. THE COMPANY’S STOCKHOLDERS AND INVESTORS ARE URGED TO READ THE DEFINITIVE PROXY STATEMENT IN ITS ENTIRETY AND ANY OTHER DOCUMENTS FILED BY EACH OF PARENT AND THE COMPANY WITH THE SEC IN CONNECTION WITH THE PROPOSED ACQUISITION OR INCORPORATED BY REFERENCE THEREIN BECAUSE THEY CONTAIN IMPORTANT INFORMATION ABOUT THE PROPOSED ACQUISITION AND THE PARTIES TO THE PROPOSED ACQUISITION. Investors and security holders are able to obtain a free copy of the proxy statement and such other documents containing important information about the Company and Parent through the website maintained by the SEC at www.sec.gov. The Company makes available free of charge at its website at https://investor.lantheus.com/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definitive proxy statement. To the extent holdings of the Company’s securities by its directors or executive officers have changed since the amounts set forth in the definitive proxy statement, such changes have been or will be reflected on Initial Statements of Beneficial Ownership of Securities on Form 3 or Statements of Changes in Beneficial Ownership of Securities on Form 4 filed with the SEC. These documents may be obtained free of charge from the SEC’s website at www.sec.gov and the Company’s website at https://investor.lantheus.com/. The contents of the websites referenced herein are not deemed to be incorporated by reference into the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817</Words>
  <Characters>4381</Characters>
  <CharactersWithSpaces>5213</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